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05160">
      <w:pPr>
        <w:pStyle w:val="ttl"/>
        <w:widowControl/>
      </w:pPr>
      <w:bookmarkStart w:id="0" w:name="_GoBack"/>
      <w:bookmarkEnd w:id="0"/>
      <w:r>
        <w:rPr>
          <w:rFonts w:cs="Arial Fett"/>
        </w:rPr>
        <w:t>Einkommensteuererklärung, Erforderliche Belege 2021</w:t>
      </w:r>
    </w:p>
    <w:p w:rsidR="00000000" w:rsidRDefault="00E05160">
      <w:pPr>
        <w:pStyle w:val="U1"/>
        <w:widowControl/>
      </w:pPr>
      <w:r>
        <w:rPr>
          <w:rFonts w:cs="Arial Fett"/>
        </w:rPr>
        <w:t>Einkommensteuer, Erforderliche Belege 2021</w:t>
      </w:r>
    </w:p>
    <w:p w:rsidR="00000000" w:rsidRDefault="00E05160">
      <w:pPr>
        <w:pStyle w:val="U0"/>
        <w:widowControl/>
      </w:pPr>
      <w:r>
        <w:rPr>
          <w:rFonts w:cs="Arial Fett"/>
        </w:rPr>
        <w:t>Allgemeine Angaben</w:t>
      </w:r>
    </w:p>
    <w:p w:rsidR="00000000" w:rsidRDefault="00E05160">
      <w:pPr>
        <w:pStyle w:val="U0"/>
        <w:widowControl/>
      </w:pPr>
      <w:r>
        <w:rPr>
          <w:rFonts w:cs="Arial Fett"/>
        </w:rPr>
        <w:t>Persönliche Stammdaten</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
              </w:numPr>
              <w:tabs>
                <w:tab w:val="left" w:pos="514"/>
              </w:tabs>
            </w:pPr>
            <w:r>
              <w:rPr>
                <w:rFonts w:cs="Arial Fett"/>
              </w:rPr>
              <w:t xml:space="preserve">Haben sich </w:t>
            </w:r>
            <w:r>
              <w:rPr>
                <w:rFonts w:cs="Arial Fett"/>
              </w:rPr>
              <w:t xml:space="preserve">Änderungen im Bereich Ihrer </w:t>
            </w:r>
            <w:r>
              <w:rPr>
                <w:rStyle w:val="hvhf"/>
                <w:rFonts w:cs="Arial Fett"/>
              </w:rPr>
              <w:t>persönlichen Daten</w:t>
            </w:r>
            <w:r>
              <w:rPr>
                <w:rFonts w:cs="Arial Fett"/>
              </w:rPr>
              <w:t xml:space="preserve"> (Konfession, Adresse, Beruf, Familienstand, Bankverbindung, Kinder und deren Betätigung etc.) ergeben?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
              </w:numPr>
              <w:tabs>
                <w:tab w:val="left" w:pos="514"/>
              </w:tabs>
            </w:pPr>
            <w:r>
              <w:rPr>
                <w:rFonts w:cs="Arial Fett"/>
              </w:rPr>
              <w:t>Wenn ja, fordern Sie bitte den Stammdatenfragebogen an.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
              </w:numPr>
              <w:tabs>
                <w:tab w:val="left" w:pos="514"/>
              </w:tabs>
            </w:pPr>
            <w:r>
              <w:rPr>
                <w:rFonts w:cs="Arial Fett"/>
              </w:rPr>
              <w:t>Waren Sie das komplette Jahr im Inland ansässig?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Sofern dem Steuerberater noch nicht vorliegend, bitte</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6"/>
              </w:numPr>
              <w:tabs>
                <w:tab w:val="left" w:pos="514"/>
              </w:tabs>
            </w:pPr>
            <w:r>
              <w:rPr>
                <w:rFonts w:cs="Arial Fett"/>
              </w:rPr>
              <w:t xml:space="preserve">den </w:t>
            </w:r>
            <w:r>
              <w:rPr>
                <w:rStyle w:val="hvhf"/>
                <w:rFonts w:cs="Arial Fett"/>
              </w:rPr>
              <w:t>Einkommensteuerbescheid</w:t>
            </w:r>
            <w:r>
              <w:rPr>
                <w:rFonts w:cs="Arial Fett"/>
              </w:rPr>
              <w:t xml:space="preserve"> des letzten Jahres sowie eventuelle Änderungsbescheide beifügen,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7"/>
              </w:numPr>
              <w:tabs>
                <w:tab w:val="left" w:pos="514"/>
              </w:tabs>
            </w:pPr>
            <w:r>
              <w:rPr>
                <w:rFonts w:cs="Arial Fett"/>
              </w:rPr>
              <w:t xml:space="preserve">den </w:t>
            </w:r>
            <w:r>
              <w:rPr>
                <w:rStyle w:val="hvhf"/>
                <w:rFonts w:cs="Arial Fett"/>
              </w:rPr>
              <w:t>letzten Vorauszahlungsbescheid</w:t>
            </w:r>
            <w:r>
              <w:rPr>
                <w:rFonts w:cs="Arial Fett"/>
              </w:rPr>
              <w:t xml:space="preserve"> beifügen,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8"/>
              </w:numPr>
              <w:tabs>
                <w:tab w:val="left" w:pos="514"/>
              </w:tabs>
            </w:pPr>
            <w:r>
              <w:rPr>
                <w:rFonts w:cs="Arial Fett"/>
              </w:rPr>
              <w:t xml:space="preserve">einen evtl. </w:t>
            </w:r>
            <w:r>
              <w:rPr>
                <w:rStyle w:val="hvhf"/>
                <w:rFonts w:cs="Arial Fett"/>
              </w:rPr>
              <w:t>Bescheid</w:t>
            </w:r>
            <w:r>
              <w:rPr>
                <w:rFonts w:cs="Arial Fett"/>
              </w:rPr>
              <w:t xml:space="preserve"> über die Feststellung eines </w:t>
            </w:r>
            <w:r>
              <w:rPr>
                <w:rStyle w:val="hvhf"/>
                <w:rFonts w:cs="Arial Fett"/>
              </w:rPr>
              <w:t>Verlustabzugs</w:t>
            </w:r>
            <w:r>
              <w:rPr>
                <w:rFonts w:cs="Arial Fett"/>
              </w:rPr>
              <w:t xml:space="preserve"> beifügen,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9"/>
              </w:numPr>
              <w:tabs>
                <w:tab w:val="left" w:pos="514"/>
              </w:tabs>
            </w:pPr>
            <w:r>
              <w:rPr>
                <w:rFonts w:cs="Arial Fett"/>
              </w:rPr>
              <w:t xml:space="preserve">Kopien der </w:t>
            </w:r>
            <w:r>
              <w:rPr>
                <w:rStyle w:val="hvhf"/>
                <w:rFonts w:cs="Arial Fett"/>
              </w:rPr>
              <w:t>letzten Steuererklärung</w:t>
            </w:r>
            <w:r>
              <w:rPr>
                <w:rFonts w:cs="Arial Fett"/>
              </w:rPr>
              <w:t xml:space="preserve"> beifügen.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0"/>
              </w:numPr>
              <w:tabs>
                <w:tab w:val="left" w:pos="514"/>
              </w:tabs>
            </w:pPr>
            <w:r>
              <w:rPr>
                <w:rFonts w:cs="Arial Fett"/>
              </w:rPr>
              <w:t>Bestehen fü</w:t>
            </w:r>
            <w:r>
              <w:rPr>
                <w:rFonts w:cs="Arial Fett"/>
              </w:rPr>
              <w:t>r die Vorjahre noch laufende Einspruchsverfahren, die dem Steuerbüro nicht bekannt sind?</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1"/>
              </w:numPr>
              <w:tabs>
                <w:tab w:val="left" w:pos="514"/>
              </w:tabs>
            </w:pPr>
            <w:r>
              <w:rPr>
                <w:rFonts w:cs="Arial Fett"/>
              </w:rPr>
              <w:t>Sofern Sie hinsichtlich eintretender Änderungen Beratungsbedarf sehen, kreuzen Sie bitte "ja" an und führen den Grund kurz stichwortartig auf. Ihr S</w:t>
            </w:r>
            <w:r>
              <w:rPr>
                <w:rFonts w:cs="Arial Fett"/>
              </w:rPr>
              <w:t>achbearbeiter wird sich mit Ihnen in Verbindung setzen.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Angaben zu Kindern</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2"/>
              </w:numPr>
              <w:tabs>
                <w:tab w:val="left" w:pos="514"/>
              </w:tabs>
            </w:pPr>
            <w:r>
              <w:rPr>
                <w:rFonts w:cs="Arial Fett"/>
              </w:rPr>
              <w:t>Liegen sämtliche persönliche Daten Ihrer Kinder (Name, Geburtsdatum, etc.) vor?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3"/>
              </w:numPr>
              <w:tabs>
                <w:tab w:val="left" w:pos="514"/>
              </w:tabs>
            </w:pPr>
            <w:r>
              <w:rPr>
                <w:rFonts w:cs="Arial Fett"/>
              </w:rPr>
              <w:t>Liegen die s</w:t>
            </w:r>
            <w:r>
              <w:rPr>
                <w:rFonts w:cs="Arial Fett"/>
              </w:rPr>
              <w:t>teuerlichen Identifikationsnummern Ihrer Kinder vor?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4"/>
              </w:numPr>
              <w:tabs>
                <w:tab w:val="left" w:pos="514"/>
              </w:tabs>
            </w:pPr>
            <w:r>
              <w:rPr>
                <w:rFonts w:cs="Arial Fett"/>
              </w:rPr>
              <w:lastRenderedPageBreak/>
              <w:t>Sofern Sie in 2021 ein Kind bekommen haben gratuliert Ihr Steuerbüro Ihnen an dieser Stelle ganz herzlich. Bitte reichen Sie die Geburtsurkunde für das Kind ein.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5"/>
              </w:numPr>
              <w:tabs>
                <w:tab w:val="left" w:pos="514"/>
              </w:tabs>
            </w:pPr>
            <w:r>
              <w:rPr>
                <w:rFonts w:cs="Arial Fett"/>
              </w:rPr>
              <w:t>Bitte teilen Sie für jedes Kind die Höhe des in 2021 erhaltenen Kindergelds mit.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6"/>
              </w:numPr>
              <w:tabs>
                <w:tab w:val="left" w:pos="514"/>
              </w:tabs>
            </w:pPr>
            <w:r>
              <w:rPr>
                <w:rFonts w:cs="Arial Fett"/>
              </w:rPr>
              <w:t>Sofern Ihnen Kinderbetreuungskosten entstanden sind, reichen Sie bitte die entsprechenden Belege ein.</w:t>
            </w:r>
          </w:p>
          <w:p w:rsidR="00000000" w:rsidRDefault="00E05160">
            <w:pPr>
              <w:pStyle w:val="L1atxt"/>
              <w:widowControl/>
            </w:pPr>
            <w:r>
              <w:rPr>
                <w:rStyle w:val="hvhf"/>
                <w:rFonts w:cs="Arial Fett"/>
              </w:rPr>
              <w:t>Bitte beachten Sie</w:t>
            </w:r>
            <w:r>
              <w:rPr>
                <w:rFonts w:cs="Arial Fett"/>
              </w:rPr>
              <w:t>, dass nur Betreuungskosten abzugsfä</w:t>
            </w:r>
            <w:r>
              <w:rPr>
                <w:rFonts w:cs="Arial Fett"/>
              </w:rPr>
              <w:t>hig sind. Kosten für die Verpflegung, auch wenn diese in der Kita stattfindet, sind nicht abzugsfähig.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7"/>
              </w:numPr>
              <w:tabs>
                <w:tab w:val="left" w:pos="514"/>
              </w:tabs>
            </w:pPr>
            <w:r>
              <w:rPr>
                <w:rFonts w:cs="Arial Fett"/>
              </w:rPr>
              <w:t xml:space="preserve">Haben Sie für Ihr Kind Beiträge zur Krankenversicherung oder Pflegeversicherung gezahlt? (Falls ja, reichen </w:t>
            </w:r>
            <w:r>
              <w:rPr>
                <w:rFonts w:cs="Arial Fett"/>
              </w:rPr>
              <w:t>Sie einen entsprechenden Nachweis dazu ein.)</w:t>
            </w:r>
          </w:p>
          <w:p w:rsidR="00000000" w:rsidRDefault="00E05160">
            <w:pPr>
              <w:pStyle w:val="L1atxt"/>
              <w:widowControl/>
            </w:pPr>
            <w:r>
              <w:rPr>
                <w:rStyle w:val="hvhf"/>
                <w:rFonts w:cs="Arial Fett"/>
              </w:rPr>
              <w:t>Hinweis</w:t>
            </w:r>
            <w:r>
              <w:rPr>
                <w:rFonts w:cs="Arial Fett"/>
              </w:rPr>
              <w:t>: Beiträge zur Kranken- und Pflegeversicherung für das eigene Kind, die von den Erziehungsberechtigten wirtschaftlich als Bar- oder Sachunterhalt getragen werden, sind bei diesen als Sonderausgabe zu berü</w:t>
            </w:r>
            <w:r>
              <w:rPr>
                <w:rFonts w:cs="Arial Fett"/>
              </w:rPr>
              <w:t>cksichtigen.</w:t>
            </w:r>
            <w:r>
              <w:rPr>
                <w:rStyle w:val="Funotenverweis"/>
              </w:rPr>
              <w:footnoteReference w:id="1"/>
            </w:r>
          </w:p>
          <w:p w:rsidR="00000000" w:rsidRDefault="00E05160">
            <w:pPr>
              <w:pStyle w:val="L1atxt"/>
              <w:widowControl/>
            </w:pPr>
            <w:r>
              <w:rPr>
                <w:rFonts w:cs="Arial Fett"/>
              </w:rPr>
              <w:t>Sie können auch die vom Arbeitgeber von der Ausbildungsvergütung des Kindes einbehaltenen Kranken- und Pflegeversicherungsbeiträge als Sonderausgaben geltend machen, soweit sie diese Beiträ</w:t>
            </w:r>
            <w:r>
              <w:rPr>
                <w:rFonts w:cs="Arial Fett"/>
              </w:rPr>
              <w:t>ge dem unterhaltsberechtigten Kind erstattet haben. Im Familienverbund kann dies zu einer Steuerersparnis führen. Sofern Sie mehr erfahren möchten oder wir dies für Sie prüfen sollen, sprechen Sie und an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8"/>
              </w:numPr>
              <w:tabs>
                <w:tab w:val="left" w:pos="514"/>
              </w:tabs>
            </w:pPr>
            <w:r>
              <w:rPr>
                <w:rFonts w:cs="Arial Fett"/>
              </w:rPr>
              <w:t>Haben Sie fü</w:t>
            </w:r>
            <w:r>
              <w:rPr>
                <w:rFonts w:cs="Arial Fett"/>
              </w:rPr>
              <w:t>r Ihr Kind Schulgeldzahlungen für eine Privatschule geleistet?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19"/>
              </w:numPr>
              <w:tabs>
                <w:tab w:val="left" w:pos="514"/>
              </w:tabs>
            </w:pPr>
            <w:r>
              <w:rPr>
                <w:rFonts w:cs="Arial Fett"/>
              </w:rPr>
              <w:t>Bei volljährigen Kindern fügen Sie bitte eine Ausbildungs-, Schul- oder Studienbescheinigung bei.</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0"/>
              </w:numPr>
              <w:tabs>
                <w:tab w:val="left" w:pos="514"/>
              </w:tabs>
            </w:pPr>
            <w:r>
              <w:rPr>
                <w:rFonts w:cs="Arial Fett"/>
              </w:rPr>
              <w:t xml:space="preserve">Sofern die Eltern des Kindes </w:t>
            </w:r>
            <w:r>
              <w:rPr>
                <w:rFonts w:cs="Arial Fett"/>
              </w:rPr>
              <w:t>getrennt leben, teilen Sie bitte mit, wo das Kind gemeldet ist. Ebenso werden Name und Anschrift des anderen Elternteils benötigt.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1"/>
              </w:numPr>
              <w:tabs>
                <w:tab w:val="left" w:pos="514"/>
              </w:tabs>
            </w:pPr>
            <w:r>
              <w:rPr>
                <w:rFonts w:cs="Arial Fett"/>
              </w:rPr>
              <w:t>Sollten Sie weitere Fragen bezüglich der steuerlichen Berü</w:t>
            </w:r>
            <w:r>
              <w:rPr>
                <w:rFonts w:cs="Arial Fett"/>
              </w:rPr>
              <w:t xml:space="preserve">cksichtigung Ihrer Kinder haben, </w:t>
            </w:r>
            <w:r>
              <w:rPr>
                <w:rFonts w:cs="Arial Fett"/>
              </w:rPr>
              <w:lastRenderedPageBreak/>
              <w:t>kreuzen Sie bitte ja an, Ihr Sachbearbeiter wird sich dann bei Ihnen melden.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Sonderausgaben</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Bitte fügen Sie Belege über die folgenden </w:t>
            </w:r>
            <w:r>
              <w:rPr>
                <w:rStyle w:val="hvhf"/>
                <w:rFonts w:cs="Arial Fett"/>
              </w:rPr>
              <w:t xml:space="preserve">Versicherungen </w:t>
            </w:r>
            <w:r>
              <w:rPr>
                <w:rFonts w:cs="Arial Fett"/>
              </w:rPr>
              <w:t>bei, sofern vorhanden: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2"/>
              </w:numPr>
              <w:tabs>
                <w:tab w:val="left" w:pos="514"/>
              </w:tabs>
            </w:pPr>
            <w:r>
              <w:rPr>
                <w:rFonts w:cs="Arial Fett"/>
              </w:rPr>
              <w:t>berufsständische Versorgungseinrichtungen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3"/>
              </w:numPr>
              <w:tabs>
                <w:tab w:val="left" w:pos="514"/>
              </w:tabs>
            </w:pPr>
            <w:r>
              <w:rPr>
                <w:rFonts w:cs="Arial Fett"/>
              </w:rPr>
              <w:t>freiwillige Versicherung oder Höherversicherung in der gesetzlichen Rentenversicherung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4"/>
              </w:numPr>
              <w:tabs>
                <w:tab w:val="left" w:pos="514"/>
              </w:tabs>
            </w:pPr>
            <w:r>
              <w:rPr>
                <w:rFonts w:cs="Arial Fett"/>
              </w:rPr>
              <w:t>freiwillige Beiträ</w:t>
            </w:r>
            <w:r>
              <w:rPr>
                <w:rFonts w:cs="Arial Fett"/>
              </w:rPr>
              <w:t>ge zur Zusatzpflegeversicherung (sofern Sie nach dem 31.12.1957 geboren sind)</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5"/>
              </w:numPr>
              <w:tabs>
                <w:tab w:val="left" w:pos="514"/>
              </w:tabs>
            </w:pPr>
            <w:r>
              <w:rPr>
                <w:rFonts w:cs="Arial Fett"/>
              </w:rPr>
              <w:t>Erwerbs- und Berufsunfähigkeitsversicherung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6"/>
              </w:numPr>
              <w:tabs>
                <w:tab w:val="left" w:pos="514"/>
              </w:tabs>
            </w:pPr>
            <w:r>
              <w:rPr>
                <w:rFonts w:cs="Arial Fett"/>
              </w:rPr>
              <w:t>Krankenversicherung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t>Hinweis 1</w:t>
            </w:r>
            <w:r>
              <w:rPr>
                <w:rFonts w:cs="Arial Fett"/>
              </w:rPr>
              <w:t>: Bitte achten Sie darauf, dass bei der Krankenversicherung eine Aufschlüsselung in Basisversorgung und Wahlleistungen vorliegt. Die Krankenversicherung wird Ihnen diesbezüglich Anfang 2022 eine Bescheinigung für 2021 erteilt haben (Corona-bedingte Verzöge</w:t>
            </w:r>
            <w:r>
              <w:rPr>
                <w:rFonts w:cs="Arial Fett"/>
              </w:rPr>
              <w:t>rungen sind möglich).</w:t>
            </w:r>
          </w:p>
          <w:p w:rsidR="00000000" w:rsidRDefault="00E05160">
            <w:pPr>
              <w:pStyle w:val="txt"/>
              <w:widowControl/>
            </w:pPr>
            <w:r>
              <w:rPr>
                <w:rStyle w:val="hvhf"/>
                <w:rFonts w:cs="Arial Fett"/>
              </w:rPr>
              <w:t>Hinweis 2</w:t>
            </w:r>
            <w:r>
              <w:rPr>
                <w:rFonts w:cs="Arial Fett"/>
              </w:rPr>
              <w:t xml:space="preserve">: Es können auch Beiträge für die Basiskrankenversicherung an </w:t>
            </w:r>
            <w:r>
              <w:rPr>
                <w:rStyle w:val="hvhf"/>
                <w:rFonts w:cs="Arial Fett"/>
              </w:rPr>
              <w:t>Krankenversicherungen außerhalb Deutschlands</w:t>
            </w:r>
            <w:r>
              <w:rPr>
                <w:rFonts w:cs="Arial Fett"/>
              </w:rPr>
              <w:t xml:space="preserve"> bzw. der EWR-Staaten als Sonderausgabe geltend gemacht werden. Voraussetzung ist lediglich, dass die Versicherungsunte</w:t>
            </w:r>
            <w:r>
              <w:rPr>
                <w:rFonts w:cs="Arial Fett"/>
              </w:rPr>
              <w:t>rnehmen das Versicherungsgeschäft auch in Deutschland betreiben dürfen oder ihnen die Erlaubnis zum Geschäftsbetrieb im Inland erteilt wurde.</w:t>
            </w:r>
          </w:p>
          <w:p w:rsidR="00000000" w:rsidRDefault="00E05160">
            <w:pPr>
              <w:pStyle w:val="txt"/>
              <w:widowControl/>
            </w:pPr>
            <w:r>
              <w:rPr>
                <w:rStyle w:val="hvhf"/>
                <w:rFonts w:cs="Arial Fett"/>
              </w:rPr>
              <w:t>Hinweis 3</w:t>
            </w:r>
            <w:r>
              <w:rPr>
                <w:rFonts w:cs="Arial Fett"/>
              </w:rPr>
              <w:t>: Der BFH</w:t>
            </w:r>
            <w:r>
              <w:rPr>
                <w:rStyle w:val="Funotenverweis"/>
              </w:rPr>
              <w:footnoteReference w:id="2"/>
            </w:r>
            <w:r>
              <w:rPr>
                <w:rFonts w:cs="Arial Fett"/>
              </w:rPr>
              <w:t xml:space="preserve"> hat entschieden, dass Erstattungen</w:t>
            </w:r>
            <w:r>
              <w:rPr>
                <w:rFonts w:cs="Arial Fett"/>
              </w:rPr>
              <w:t xml:space="preserve"> im Rahmen eines Bonusprogramms der Krankenkasse keine Beitragsrückerstattungen sind. Eine Kürzung des Sonderausgabenabzugs kommt daher nicht in Betracht. Ebenso hat der BFH</w:t>
            </w:r>
            <w:r>
              <w:rPr>
                <w:rStyle w:val="Funotenverweis"/>
              </w:rPr>
              <w:footnoteReference w:id="3"/>
            </w:r>
            <w:r>
              <w:rPr>
                <w:rFonts w:cs="Arial Fett"/>
              </w:rPr>
              <w:t xml:space="preserve"> klargestellt, dass die von einer gesetzlichen Krankenkasse auf der Grundlage von § 65a SGB V gewährte Geldprämie (Bonus) für gesundheitsbewusstes Verhalten auch bei pauschaler Ausgestaltung keine den Sonderausgabenabzug mindernde Beitragserstattung darste</w:t>
            </w:r>
            <w:r>
              <w:rPr>
                <w:rFonts w:cs="Arial Fett"/>
              </w:rPr>
              <w:t xml:space="preserve">llt, sofern durch sie konkret der Gesundheitsmaßnahme zuzuordnender finanzieller Aufwand des </w:t>
            </w:r>
            <w:r>
              <w:rPr>
                <w:rFonts w:cs="Arial Fett"/>
              </w:rPr>
              <w:lastRenderedPageBreak/>
              <w:t>Steuerpflichtigen ganz oder teilweise ausgeglichen wird.</w:t>
            </w:r>
          </w:p>
          <w:p w:rsidR="00000000" w:rsidRDefault="00E05160">
            <w:pPr>
              <w:pStyle w:val="txt"/>
              <w:widowControl/>
            </w:pPr>
            <w:r>
              <w:rPr>
                <w:rFonts w:cs="Arial Fett"/>
              </w:rPr>
              <w:t>Da insbesondere die BFH-Entscheidung aus dem Jahr 2020 nach wie vor nicht im Bundesteuerblatt zur allgemei</w:t>
            </w:r>
            <w:r>
              <w:rPr>
                <w:rFonts w:cs="Arial Fett"/>
              </w:rPr>
              <w:t>nen Anwendung veröffentlicht ist und der Bereich insgesamt fehleranfällig ist, bitten wir in entsprechenden Fällen weitergehende Unterlagen einzureichen, aus denen ersichtlich ist auf welcher Grundlage entsprechende Zahlungen der Krankenkasse geleistet wer</w:t>
            </w:r>
            <w:r>
              <w:rPr>
                <w:rFonts w:cs="Arial Fett"/>
              </w:rPr>
              <w:t>den.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Haben Sie der elektronischen Übermittlung der Krankenversicherungsbeiträge widersprochen?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7"/>
              </w:numPr>
              <w:tabs>
                <w:tab w:val="left" w:pos="514"/>
              </w:tabs>
            </w:pPr>
            <w:r>
              <w:rPr>
                <w:rFonts w:cs="Arial Fett"/>
              </w:rPr>
              <w:t>Haftpflichtversicherung (Autohaftpflicht, sofern Privat-Pkw; Tierhaftpflicht etc.)</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8"/>
              </w:numPr>
              <w:tabs>
                <w:tab w:val="left" w:pos="514"/>
              </w:tabs>
            </w:pPr>
            <w:r>
              <w:rPr>
                <w:rFonts w:cs="Arial Fett"/>
              </w:rPr>
              <w:t>Kapitallebensversicherung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29"/>
              </w:numPr>
              <w:tabs>
                <w:tab w:val="left" w:pos="514"/>
              </w:tabs>
            </w:pPr>
            <w:r>
              <w:rPr>
                <w:rFonts w:cs="Arial Fett"/>
              </w:rPr>
              <w:t>Ist die Kapitallebensversicherung beliehen oder verpfändet?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0"/>
              </w:numPr>
              <w:tabs>
                <w:tab w:val="left" w:pos="514"/>
              </w:tabs>
            </w:pPr>
            <w:r>
              <w:rPr>
                <w:rFonts w:cs="Arial Fett"/>
              </w:rPr>
              <w:t>Rentenversicherung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1"/>
              </w:numPr>
              <w:tabs>
                <w:tab w:val="left" w:pos="514"/>
              </w:tabs>
            </w:pPr>
            <w:r>
              <w:rPr>
                <w:rFonts w:cs="Arial Fett"/>
              </w:rPr>
              <w:t>Unfallversicherung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2"/>
              </w:numPr>
              <w:tabs>
                <w:tab w:val="left" w:pos="514"/>
              </w:tabs>
            </w:pPr>
            <w:r>
              <w:rPr>
                <w:rFonts w:cs="Arial Fett"/>
              </w:rPr>
              <w:t>Arbeitslosenversicherung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3"/>
              </w:numPr>
              <w:tabs>
                <w:tab w:val="left" w:pos="514"/>
              </w:tabs>
            </w:pPr>
            <w:r>
              <w:rPr>
                <w:rFonts w:cs="Arial Fett"/>
              </w:rPr>
              <w:t>Bescheinigung von Versicherungen zur Riester- und Rüruprente</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nil"/>
              <w:right w:val="single" w:sz="4" w:space="0" w:color="auto"/>
            </w:tcBorders>
            <w:tcMar>
              <w:top w:w="54" w:type="dxa"/>
              <w:left w:w="54" w:type="dxa"/>
              <w:bottom w:w="0" w:type="dxa"/>
              <w:right w:w="54" w:type="dxa"/>
            </w:tcMar>
          </w:tcPr>
          <w:p w:rsidR="00000000" w:rsidRDefault="00E05160">
            <w:pPr>
              <w:pStyle w:val="L1a"/>
              <w:widowControl/>
              <w:numPr>
                <w:ilvl w:val="0"/>
                <w:numId w:val="34"/>
              </w:numPr>
              <w:tabs>
                <w:tab w:val="left" w:pos="514"/>
              </w:tabs>
            </w:pPr>
            <w:r>
              <w:rPr>
                <w:rFonts w:cs="Arial Fett"/>
              </w:rPr>
              <w:t xml:space="preserve">Bestehen Ansprüche hinsichtlich der Krankenversicherung oder </w:t>
            </w:r>
            <w:r>
              <w:rPr>
                <w:rStyle w:val="hvhf"/>
                <w:rFonts w:cs="Arial Fett"/>
              </w:rPr>
              <w:t>Krankheitskosten</w:t>
            </w:r>
            <w:r>
              <w:rPr>
                <w:rFonts w:cs="Arial Fett"/>
              </w:rPr>
              <w:t xml:space="preserve"> auf</w:t>
            </w:r>
          </w:p>
          <w:p w:rsidR="00000000" w:rsidRDefault="00E05160">
            <w:pPr>
              <w:pStyle w:val="L1b"/>
              <w:widowControl/>
              <w:numPr>
                <w:ilvl w:val="1"/>
                <w:numId w:val="35"/>
              </w:numPr>
              <w:tabs>
                <w:tab w:val="left" w:pos="1028"/>
              </w:tabs>
            </w:pPr>
            <w:r>
              <w:rPr>
                <w:rFonts w:cs="Arial Fett"/>
              </w:rPr>
              <w:t>steuerfreie Zuschüsse (z. B. aus der Rentenversicherung)</w:t>
            </w:r>
          </w:p>
          <w:p w:rsidR="00000000" w:rsidRDefault="00E05160">
            <w:pPr>
              <w:pStyle w:val="L1b"/>
              <w:widowControl/>
              <w:numPr>
                <w:ilvl w:val="1"/>
                <w:numId w:val="35"/>
              </w:numPr>
              <w:tabs>
                <w:tab w:val="left" w:pos="1028"/>
              </w:tabs>
            </w:pPr>
            <w:r>
              <w:rPr>
                <w:rFonts w:cs="Arial Fett"/>
              </w:rPr>
              <w:t>steuerfreie Arbeitgeberbeiträ</w:t>
            </w:r>
            <w:r>
              <w:rPr>
                <w:rFonts w:cs="Arial Fett"/>
              </w:rPr>
              <w:t>ge oder</w:t>
            </w:r>
          </w:p>
          <w:p w:rsidR="00000000" w:rsidRDefault="00E05160">
            <w:pPr>
              <w:pStyle w:val="L1b"/>
              <w:widowControl/>
              <w:numPr>
                <w:ilvl w:val="1"/>
                <w:numId w:val="35"/>
              </w:numPr>
              <w:tabs>
                <w:tab w:val="left" w:pos="1028"/>
              </w:tabs>
            </w:pPr>
            <w:r>
              <w:rPr>
                <w:rFonts w:cs="Arial Fett"/>
              </w:rPr>
              <w:t>steuerfreie Beihilfen (z. B. bei Beamten)</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nil"/>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nil"/>
              <w:right w:val="single" w:sz="4" w:space="0" w:color="auto"/>
            </w:tcBorders>
            <w:tcMar>
              <w:top w:w="54" w:type="dxa"/>
              <w:left w:w="54" w:type="dxa"/>
              <w:bottom w:w="0" w:type="dxa"/>
              <w:right w:w="54" w:type="dxa"/>
            </w:tcMar>
          </w:tcPr>
          <w:p w:rsidR="00000000" w:rsidRDefault="00E05160">
            <w:pPr>
              <w:pStyle w:val="L1a"/>
              <w:widowControl/>
              <w:numPr>
                <w:ilvl w:val="0"/>
                <w:numId w:val="36"/>
              </w:numPr>
              <w:tabs>
                <w:tab w:val="left" w:pos="514"/>
              </w:tabs>
            </w:pPr>
            <w:r>
              <w:rPr>
                <w:rFonts w:cs="Arial Fett"/>
              </w:rPr>
              <w:t>für den Ehemann oder</w:t>
            </w:r>
          </w:p>
        </w:tc>
        <w:tc>
          <w:tcPr>
            <w:tcW w:w="955" w:type="dxa"/>
            <w:tcBorders>
              <w:top w:val="nil"/>
              <w:left w:val="nil"/>
              <w:bottom w:val="nil"/>
              <w:right w:val="single" w:sz="4" w:space="0" w:color="auto"/>
            </w:tcBorders>
            <w:tcMar>
              <w:top w:w="54" w:type="dxa"/>
              <w:left w:w="54" w:type="dxa"/>
              <w:bottom w:w="0" w:type="dxa"/>
              <w:right w:w="54" w:type="dxa"/>
            </w:tcMar>
            <w:vAlign w:val="bottom"/>
          </w:tcPr>
          <w:p w:rsidR="00000000" w:rsidRDefault="00E05160">
            <w:pPr>
              <w:pStyle w:val="txt"/>
              <w:widowControl/>
              <w:jc w:val="center"/>
            </w:pPr>
            <w:r>
              <w:rPr>
                <w:rFonts w:cs="Arial Fett"/>
              </w:rPr>
              <w:t>[ ]</w:t>
            </w:r>
          </w:p>
        </w:tc>
        <w:tc>
          <w:tcPr>
            <w:tcW w:w="955" w:type="dxa"/>
            <w:tcBorders>
              <w:top w:val="nil"/>
              <w:left w:val="nil"/>
              <w:bottom w:val="nil"/>
              <w:right w:val="single" w:sz="4" w:space="0" w:color="auto"/>
            </w:tcBorders>
            <w:tcMar>
              <w:top w:w="54" w:type="dxa"/>
              <w:left w:w="54" w:type="dxa"/>
              <w:bottom w:w="0" w:type="dxa"/>
              <w:right w:w="54" w:type="dxa"/>
            </w:tcMar>
            <w:vAlign w:val="bottom"/>
          </w:tcPr>
          <w:p w:rsidR="00000000" w:rsidRDefault="00E05160">
            <w:pPr>
              <w:pStyle w:val="txt"/>
              <w:widowControl/>
              <w:jc w:val="center"/>
            </w:pPr>
            <w:r>
              <w:rPr>
                <w:rFonts w:cs="Arial Fett"/>
              </w:rPr>
              <w:t>[ ]</w:t>
            </w:r>
          </w:p>
        </w:tc>
        <w:tc>
          <w:tcPr>
            <w:tcW w:w="955" w:type="dxa"/>
            <w:tcBorders>
              <w:top w:val="nil"/>
              <w:left w:val="nil"/>
              <w:bottom w:val="nil"/>
              <w:right w:val="single" w:sz="4" w:space="0" w:color="auto"/>
            </w:tcBorders>
            <w:tcMar>
              <w:top w:w="54" w:type="dxa"/>
              <w:left w:w="54" w:type="dxa"/>
              <w:bottom w:w="0" w:type="dxa"/>
              <w:right w:w="54" w:type="dxa"/>
            </w:tcMar>
            <w:vAlign w:val="bottom"/>
          </w:tcPr>
          <w:p w:rsidR="00000000" w:rsidRDefault="00E05160">
            <w:pPr>
              <w:pStyle w:val="txt"/>
              <w:widowControl/>
              <w:jc w:val="center"/>
            </w:pPr>
            <w:r>
              <w:rPr>
                <w:rFonts w:cs="Arial Fett"/>
              </w:rPr>
              <w:t>––</w:t>
            </w:r>
          </w:p>
        </w:tc>
        <w:tc>
          <w:tcPr>
            <w:tcW w:w="955" w:type="dxa"/>
            <w:tcBorders>
              <w:top w:val="nil"/>
              <w:left w:val="nil"/>
              <w:bottom w:val="nil"/>
              <w:right w:val="single" w:sz="4" w:space="0" w:color="auto"/>
            </w:tcBorders>
            <w:tcMar>
              <w:top w:w="54" w:type="dxa"/>
              <w:left w:w="54" w:type="dxa"/>
              <w:bottom w:w="0" w:type="dxa"/>
              <w:right w:w="54" w:type="dxa"/>
            </w:tcMar>
            <w:vAlign w:val="bottom"/>
          </w:tcPr>
          <w:p w:rsidR="00000000" w:rsidRDefault="00E05160">
            <w:pPr>
              <w:pStyle w:val="txt"/>
              <w:widowControl/>
              <w:jc w:val="center"/>
            </w:pPr>
            <w:r>
              <w:rPr>
                <w:rFonts w:cs="Arial Fett"/>
              </w:rPr>
              <w:t>––</w:t>
            </w:r>
          </w:p>
        </w:tc>
        <w:tc>
          <w:tcPr>
            <w:tcW w:w="954" w:type="dxa"/>
            <w:tcBorders>
              <w:top w:val="nil"/>
              <w:left w:val="nil"/>
              <w:bottom w:val="nil"/>
            </w:tcBorders>
            <w:tcMar>
              <w:top w:w="54" w:type="dxa"/>
              <w:left w:w="54" w:type="dxa"/>
              <w:bottom w:w="0" w:type="dxa"/>
              <w:right w:w="54" w:type="dxa"/>
            </w:tcMar>
            <w:vAlign w:val="bottom"/>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7"/>
              </w:numPr>
              <w:tabs>
                <w:tab w:val="left" w:pos="514"/>
              </w:tabs>
            </w:pPr>
            <w:r>
              <w:rPr>
                <w:rFonts w:cs="Arial Fett"/>
              </w:rPr>
              <w:t>für die Ehefrau?</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Werden </w:t>
            </w:r>
            <w:r>
              <w:rPr>
                <w:rStyle w:val="hvhf"/>
                <w:rFonts w:cs="Arial Fett"/>
              </w:rPr>
              <w:t>Renten oder dauernde Lasten</w:t>
            </w:r>
            <w:r>
              <w:rPr>
                <w:rFonts w:cs="Arial Fett"/>
              </w:rPr>
              <w:t xml:space="preserve"> (auch wiederkehrende Leistungen genannt) gezahlt, bitte entsprechende Vertr</w:t>
            </w:r>
            <w:r>
              <w:rPr>
                <w:rFonts w:cs="Arial Fett"/>
              </w:rPr>
              <w:t>äge beifügen, sofern diese noch nicht im Steuerbüro vorliegen.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Werden </w:t>
            </w:r>
            <w:r>
              <w:rPr>
                <w:rStyle w:val="hvhf"/>
                <w:rFonts w:cs="Arial Fett"/>
              </w:rPr>
              <w:t>Unterhaltsleistungen</w:t>
            </w:r>
            <w:r>
              <w:rPr>
                <w:rFonts w:cs="Arial Fett"/>
              </w:rPr>
              <w:t xml:space="preserve"> an den geschiedenen oder dauernd getrennt lebenden Ehegatten gezahlt? (Wenn ja, bitte eine schon existierende Anlage U einreichen.)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Liegen Aufwendungen für die eigene </w:t>
            </w:r>
            <w:r>
              <w:rPr>
                <w:rStyle w:val="hvhf"/>
                <w:rFonts w:cs="Arial Fett"/>
              </w:rPr>
              <w:t>Berufsausbildung</w:t>
            </w:r>
            <w:r>
              <w:rPr>
                <w:rFonts w:cs="Arial Fett"/>
              </w:rPr>
              <w:t xml:space="preserve"> oder die des Ehegatten vor? Ihr Sachbearbeiter wird Ihnen ggf. weitere Details mitteilen.</w:t>
            </w:r>
          </w:p>
          <w:p w:rsidR="00000000" w:rsidRDefault="00E05160">
            <w:pPr>
              <w:pStyle w:val="txt"/>
              <w:widowControl/>
            </w:pPr>
            <w:r>
              <w:rPr>
                <w:rStyle w:val="hvhf"/>
                <w:rFonts w:cs="Arial Fett"/>
              </w:rPr>
              <w:t>Hinweis</w:t>
            </w:r>
            <w:r>
              <w:rPr>
                <w:rFonts w:cs="Arial Fett"/>
              </w:rPr>
              <w:t xml:space="preserve">: Gemeint ist in diesem Zusammenhang die </w:t>
            </w:r>
            <w:r>
              <w:rPr>
                <w:rFonts w:cs="Arial Fett"/>
              </w:rPr>
              <w:lastRenderedPageBreak/>
              <w:t>typische Erstausbildung. Kosten fü</w:t>
            </w:r>
            <w:r>
              <w:rPr>
                <w:rFonts w:cs="Arial Fett"/>
              </w:rPr>
              <w:t xml:space="preserve">r eine Zweitausbildung (z. B. Masterstudiengang) können ggf. sogar als vorweggenommene Werbungskosten oder Betriebsausgaben einen Abzug finden. Sprechen Sie daher im Zweifel Ihren Sachbearbeiter an, der die aktuell fortschreitende Rechtslage gerne für Sie </w:t>
            </w:r>
            <w:r>
              <w:rPr>
                <w:rFonts w:cs="Arial Fett"/>
              </w:rPr>
              <w:t>prüfen wird. Nach wie vor sind zu dieser Thematik zahlreiche Verfahren beim BFH anhängig, so dass im Einzelfall geklärt werden muss, ob eine Zweitausbildung gegeben ist.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Originale von </w:t>
            </w:r>
            <w:r>
              <w:rPr>
                <w:rStyle w:val="hvhf"/>
                <w:rFonts w:cs="Arial Fett"/>
              </w:rPr>
              <w:t xml:space="preserve">Spendenbescheinigungen </w:t>
            </w:r>
            <w:r>
              <w:rPr>
                <w:rFonts w:cs="Arial Fett"/>
              </w:rPr>
              <w:t>beifügen. (Liegt eine Spendenbe</w:t>
            </w:r>
            <w:r>
              <w:rPr>
                <w:rFonts w:cs="Arial Fett"/>
              </w:rPr>
              <w:t>scheinigung nicht vor, genügt bis 200 EUR eine Kopie des Kontoauszugs als Nachweis.)</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Belege über unbar gezahlte haushaltsnahe Beschäftigungsverhältnisse, Dienstleistungen und Handwerkerleistungen</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Wird ein </w:t>
            </w:r>
            <w:r>
              <w:rPr>
                <w:rStyle w:val="hvhf"/>
                <w:rFonts w:cs="Arial Fett"/>
              </w:rPr>
              <w:t>haushaltsnahes Beschäftigungsverhältnis</w:t>
            </w:r>
            <w:r>
              <w:rPr>
                <w:rFonts w:cs="Arial Fett"/>
              </w:rPr>
              <w:t xml:space="preserve"> (z. B. für Wohnungsreinigung, Gartenpflege, Zubereitung von Mahlzeiten, Pflege, Versorgung und Betreuung von Kindern oder kranken und pflegebedürftigen Personen) in Ihrem Haushalt ausgeübt? Wenn ja, wird Ihr</w:t>
            </w:r>
            <w:r>
              <w:rPr>
                <w:rFonts w:cs="Arial Fett"/>
              </w:rPr>
              <w:t xml:space="preserve"> Sachbearbeiter Ihnen weitere Details mitteilen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Belege über unbar gezahlte</w:t>
            </w:r>
            <w:r>
              <w:rPr>
                <w:rStyle w:val="hvhf"/>
                <w:rFonts w:cs="Arial Fett"/>
              </w:rPr>
              <w:t xml:space="preserve"> haushaltsnahe Dienstleistungen, Handwerkerleistungen</w:t>
            </w:r>
            <w:r>
              <w:rPr>
                <w:rFonts w:cs="Arial Fett"/>
              </w:rPr>
              <w:t xml:space="preserve"> für Renovierungs-, Erhaltungs- und Modernisierungsmaßnahmen sowie </w:t>
            </w:r>
            <w:r>
              <w:rPr>
                <w:rStyle w:val="hvhf"/>
                <w:rFonts w:cs="Arial Fett"/>
              </w:rPr>
              <w:t>Pflege- und Betreuungsleistungen im Haushalt</w:t>
            </w:r>
            <w:r>
              <w:rPr>
                <w:rFonts w:cs="Arial Fett"/>
              </w:rPr>
              <w:t>.</w:t>
            </w:r>
          </w:p>
          <w:p w:rsidR="00000000" w:rsidRDefault="00E05160">
            <w:pPr>
              <w:pStyle w:val="txt"/>
              <w:widowControl/>
            </w:pPr>
            <w:r>
              <w:rPr>
                <w:rFonts w:cs="Arial Fett"/>
              </w:rPr>
              <w:t xml:space="preserve">Hierzu gehören auch Aufwendungen für Dienstleistungen, die denen der Haushaltshilfe vergleichbar und in </w:t>
            </w:r>
            <w:r>
              <w:rPr>
                <w:rStyle w:val="hvhf"/>
                <w:rFonts w:cs="Arial Fett"/>
              </w:rPr>
              <w:t>Heimunterbringungskosten</w:t>
            </w:r>
            <w:r>
              <w:rPr>
                <w:rFonts w:cs="Arial Fett"/>
              </w:rPr>
              <w:t xml:space="preserve"> enthalten sind.</w:t>
            </w:r>
          </w:p>
          <w:p w:rsidR="00000000" w:rsidRDefault="00E05160">
            <w:pPr>
              <w:pStyle w:val="txt"/>
              <w:widowControl/>
            </w:pPr>
            <w:r>
              <w:rPr>
                <w:rStyle w:val="hvhf"/>
                <w:rFonts w:cs="Arial Fett"/>
              </w:rPr>
              <w:t>Hinweis</w:t>
            </w:r>
            <w:r>
              <w:rPr>
                <w:rFonts w:cs="Arial Fett"/>
              </w:rPr>
              <w:t>: Mit Blick auf die Handwerkerleistungen hat der BFH</w:t>
            </w:r>
            <w:r>
              <w:rPr>
                <w:rStyle w:val="Funotenverweis"/>
              </w:rPr>
              <w:footnoteReference w:id="4"/>
            </w:r>
            <w:r>
              <w:rPr>
                <w:rFonts w:cs="Arial Fett"/>
              </w:rPr>
              <w:t xml:space="preserve"> entschieden, dass soweit Arbeiten in der Werkstatt eines Handwerkers erbracht werden, die darauf entfallenden Lohnkosten nicht unter die Begünstigung für Handwerkerleistungen fallen.</w:t>
            </w:r>
          </w:p>
          <w:p w:rsidR="00000000" w:rsidRDefault="00E05160">
            <w:pPr>
              <w:pStyle w:val="txt"/>
              <w:widowControl/>
            </w:pPr>
            <w:r>
              <w:rPr>
                <w:rFonts w:cs="Arial Fett"/>
              </w:rPr>
              <w:t>Die Finanzverwa</w:t>
            </w:r>
            <w:r>
              <w:rPr>
                <w:rFonts w:cs="Arial Fett"/>
              </w:rPr>
              <w:t>ltung hat sich der Auffassung angeschlossen, indem sie den vom BFH entwickelten "räumlich-funktionalen" Haushaltsbegriff übernahm.</w:t>
            </w:r>
            <w:r>
              <w:rPr>
                <w:rStyle w:val="Funotenverweis"/>
              </w:rPr>
              <w:footnoteReference w:id="5"/>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Sind Ihnen im Jahr 2021 Aufwendungen für die </w:t>
            </w:r>
            <w:r>
              <w:rPr>
                <w:rFonts w:cs="Arial Fett"/>
              </w:rPr>
              <w:lastRenderedPageBreak/>
              <w:t>Schneerä</w:t>
            </w:r>
            <w:r>
              <w:rPr>
                <w:rFonts w:cs="Arial Fett"/>
              </w:rPr>
              <w:t>umung des Bürgersteigs entstanden?</w:t>
            </w:r>
          </w:p>
          <w:p w:rsidR="00000000" w:rsidRDefault="00E05160">
            <w:pPr>
              <w:pStyle w:val="txt"/>
              <w:widowControl/>
            </w:pPr>
            <w:r>
              <w:rPr>
                <w:rStyle w:val="hvhf"/>
                <w:rFonts w:cs="Arial Fett"/>
              </w:rPr>
              <w:t>Hinweis</w:t>
            </w:r>
            <w:r>
              <w:rPr>
                <w:rFonts w:cs="Arial Fett"/>
              </w:rPr>
              <w:t>: Grds. sind im Rahmen der haushaltsnahen Steuerermäßigung nur Aufwendungen absetzbar, die im Haushalt stattfinden. Der BFH</w:t>
            </w:r>
            <w:r>
              <w:rPr>
                <w:rStyle w:val="Funotenverweis"/>
              </w:rPr>
              <w:footnoteReference w:id="6"/>
            </w:r>
            <w:r>
              <w:rPr>
                <w:rFonts w:cs="Arial Fett"/>
              </w:rPr>
              <w:t xml:space="preserve"> hat jedoch (unabhängig von </w:t>
            </w:r>
            <w:r>
              <w:rPr>
                <w:rFonts w:cs="Arial Fett"/>
              </w:rPr>
              <w:t xml:space="preserve">den zuvor genannten Urteilen) entschieden, dass auch die Inanspruchnahme von Diensten, die jenseits der Grundstücksgrenze auf fremden, z. B. öffentlichem Grund geleistet werden, entgegen der Verwaltungsmeinung steuerermäßigt sein können. Voraussetzung ist </w:t>
            </w:r>
            <w:r>
              <w:rPr>
                <w:rFonts w:cs="Arial Fett"/>
              </w:rPr>
              <w:t>lediglich, dass es sich dabei um Tätigkeiten handelt, die ansonsten üblicherweise von Familienmitgliedern erbracht werden und in einem unmittelbaren räumlichen Zusammenhang zum Haushalt durchgeführt werden sowie dem Haushalt dienen. Die Schneeräumung der ö</w:t>
            </w:r>
            <w:r>
              <w:rPr>
                <w:rFonts w:cs="Arial Fett"/>
              </w:rPr>
              <w:t>ffentlichen Bürgersteige und Straßen erfüllt diese Voraussetzung. Ebenso sind die Kosten für die Laubreinigung auch außerhalb der eigenen Grundstücksgrenzen von der Finanzverwaltung anerkannt, sofern ein räumlich-funktionaler Zusammenhang besteht.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Sind Ihnen Kosten für </w:t>
            </w:r>
            <w:r>
              <w:rPr>
                <w:rStyle w:val="hvhf"/>
                <w:rFonts w:cs="Arial Fett"/>
              </w:rPr>
              <w:t>Baumaßnahmen vor Ihrem Wohnhaus</w:t>
            </w:r>
            <w:r>
              <w:rPr>
                <w:rFonts w:cs="Arial Fett"/>
              </w:rPr>
              <w:t xml:space="preserve"> (also außerhalb des Haushaltes) entstanden? Gemeint sind z. B. Kosten für die Erschließung einer bisher unbefestigten Straße oder ein Anschluss an das öffentliche Versorgungsnetz. Der BFH</w:t>
            </w:r>
            <w:r>
              <w:rPr>
                <w:rStyle w:val="Funotenverweis"/>
              </w:rPr>
              <w:footnoteReference w:id="7"/>
            </w:r>
            <w:r>
              <w:rPr>
                <w:rFonts w:cs="Arial Fett"/>
              </w:rPr>
              <w:t xml:space="preserve"> hat entschieden, dass die Erschließung einer öffentlichen Straße nicht im räumlich-funktionalen Zusammenhang zum Haushalt des Steuerpflichtigen steht, der auf Grund öffentlich-rechtlicher Verpflichtung zum Erschließungs</w:t>
            </w:r>
            <w:r>
              <w:rPr>
                <w:rFonts w:cs="Arial Fett"/>
              </w:rPr>
              <w:t>beitrag herangezogen wird.</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Sind Ihnen Kosten für die Betreuung eines Haustiers entstanden?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Bestehen Aufwendungen für die Inanspruchnahme eines </w:t>
            </w:r>
            <w:r>
              <w:rPr>
                <w:rStyle w:val="hvhf"/>
                <w:rFonts w:cs="Arial Fett"/>
              </w:rPr>
              <w:t>Hausnotrufsystems</w:t>
            </w:r>
            <w:r>
              <w:rPr>
                <w:rFonts w:cs="Arial Fett"/>
              </w:rPr>
              <w:t>? Entgegen bisheriger erstinstanzlicher Rechtsprechung</w:t>
            </w:r>
            <w:r>
              <w:rPr>
                <w:rStyle w:val="Funotenverweis"/>
              </w:rPr>
              <w:footnoteReference w:id="8"/>
            </w:r>
            <w:r>
              <w:rPr>
                <w:rStyle w:val="Funotenverweis"/>
              </w:rPr>
              <w:footnoteReference w:id="9"/>
            </w:r>
            <w:r>
              <w:rPr>
                <w:rFonts w:cs="Arial Fett"/>
              </w:rPr>
              <w:t xml:space="preserve"> hat nun ein erstes Finanzgericht</w:t>
            </w:r>
            <w:r>
              <w:rPr>
                <w:rStyle w:val="Funotenverweis"/>
              </w:rPr>
              <w:footnoteReference w:id="10"/>
            </w:r>
            <w:r>
              <w:rPr>
                <w:rFonts w:cs="Arial Fett"/>
              </w:rPr>
              <w:t xml:space="preserve"> unter bestimmten Voraussetzungen die Steuerermäßigung für hausha</w:t>
            </w:r>
            <w:r>
              <w:rPr>
                <w:rFonts w:cs="Arial Fett"/>
              </w:rPr>
              <w:t xml:space="preserve">ltsnahe Dienstleistungen bei Inanspruchnahme eines Hausnotrufsystems zugelassen. Danach gilt: Nimmt ein alleinlebender Steuerpflichtiger ein Hausnotrufsystem in Anspruch, das die Gerätebereitstellung und </w:t>
            </w:r>
            <w:r>
              <w:rPr>
                <w:rFonts w:cs="Arial Fett"/>
              </w:rPr>
              <w:lastRenderedPageBreak/>
              <w:t>eine 24-Stunden-Servicezentrale, nicht aber einen So</w:t>
            </w:r>
            <w:r>
              <w:rPr>
                <w:rFonts w:cs="Arial Fett"/>
              </w:rPr>
              <w:t xml:space="preserve">fort-Helfer-Einsatz an ihrer Wohnadresse oder eine Pflege- und Grundversorgung umfasst, steht ihr die Steuerermäßigung für haushaltsnahe Dienstleistungen auch dann zu, wenn sich die Notrufzentrale außerhalb des Wohngebäudes der Steuerpflichtigen und damit </w:t>
            </w:r>
            <w:r>
              <w:rPr>
                <w:rFonts w:cs="Arial Fett"/>
              </w:rPr>
              <w:t>nicht in räumlicher Nähe zu ihrer Wohnung befindet. Aktuell liegt die Streitfrage jedoch noch beim BFH</w:t>
            </w:r>
            <w:r>
              <w:rPr>
                <w:rStyle w:val="Funotenverweis"/>
              </w:rPr>
              <w:footnoteReference w:id="11"/>
            </w:r>
            <w:r>
              <w:rPr>
                <w:rFonts w:cs="Arial Fett"/>
              </w:rPr>
              <w:t>, weshalb entsprechende Sachverhalte bitte mit dem Sachbearbeiter abzustimmen sind.</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Auß</w:t>
      </w:r>
      <w:r>
        <w:rPr>
          <w:rFonts w:cs="Arial Fett"/>
        </w:rPr>
        <w:t>ergewöhnliche Belastungen</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Kopie des </w:t>
            </w:r>
            <w:r>
              <w:rPr>
                <w:rStyle w:val="hvhf"/>
                <w:rFonts w:cs="Arial Fett"/>
              </w:rPr>
              <w:t>Schwerbehindertenausweises</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Belege zu </w:t>
            </w:r>
            <w:r>
              <w:rPr>
                <w:rStyle w:val="hvhf"/>
                <w:rFonts w:cs="Arial Fett"/>
              </w:rPr>
              <w:t>Krankheitskosten</w:t>
            </w:r>
            <w:r>
              <w:rPr>
                <w:rFonts w:cs="Arial Fett"/>
              </w:rPr>
              <w:t xml:space="preserve"> (Arztkosten abzgl. KV-Anteil, Brille, Medikamente, Zahnersatz, Kur, etc.)</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t>Unterstü</w:t>
            </w:r>
            <w:r>
              <w:rPr>
                <w:rStyle w:val="hvhf"/>
                <w:rFonts w:cs="Arial Fett"/>
              </w:rPr>
              <w:t>tzungs- und Unterhaltsleistungen</w:t>
            </w:r>
            <w:r>
              <w:rPr>
                <w:rFonts w:cs="Arial Fett"/>
              </w:rPr>
              <w:t xml:space="preserve"> von Angehörigen im In- und Ausland</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8"/>
              </w:numPr>
              <w:tabs>
                <w:tab w:val="left" w:pos="514"/>
              </w:tabs>
            </w:pPr>
            <w:r>
              <w:rPr>
                <w:rFonts w:cs="Arial Fett"/>
              </w:rPr>
              <w:t>Nachweis der Unterhaltsbedürftigkeit</w:t>
            </w:r>
          </w:p>
          <w:p w:rsidR="00000000" w:rsidRDefault="00E05160">
            <w:pPr>
              <w:pStyle w:val="txt"/>
              <w:widowControl/>
            </w:pPr>
            <w:r>
              <w:rPr>
                <w:rStyle w:val="hvhf"/>
                <w:rFonts w:cs="Arial Fett"/>
              </w:rPr>
              <w:t>Hinweis</w:t>
            </w:r>
            <w:r>
              <w:rPr>
                <w:rFonts w:cs="Arial Fett"/>
              </w:rPr>
              <w:t>: Voraussetzung ist, dass die unterstützte Person kein oder nur geringes Vermögen besitzt. Ein angemessenes Hausgrundstü</w:t>
            </w:r>
            <w:r>
              <w:rPr>
                <w:rFonts w:cs="Arial Fett"/>
              </w:rPr>
              <w:t>ck bleibt bei der Prüfung der Unterhaltsbedürftigkeit unberücksichtigt.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39"/>
              </w:numPr>
              <w:tabs>
                <w:tab w:val="left" w:pos="514"/>
              </w:tabs>
            </w:pPr>
            <w:r>
              <w:rPr>
                <w:rFonts w:cs="Arial Fett"/>
              </w:rPr>
              <w:t>Zahlungsbelege</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Wird eine hilflose Person </w:t>
            </w:r>
            <w:r>
              <w:rPr>
                <w:rStyle w:val="hvhf"/>
                <w:rFonts w:cs="Arial Fett"/>
              </w:rPr>
              <w:t>gepflegt</w:t>
            </w:r>
            <w:r>
              <w:rPr>
                <w:rFonts w:cs="Arial Fett"/>
              </w:rPr>
              <w:t>?</w:t>
            </w:r>
          </w:p>
          <w:p w:rsidR="00000000" w:rsidRDefault="00E05160">
            <w:pPr>
              <w:pStyle w:val="txt"/>
              <w:widowControl/>
            </w:pPr>
            <w:r>
              <w:rPr>
                <w:rStyle w:val="hvhf"/>
                <w:rFonts w:cs="Arial Fett"/>
              </w:rPr>
              <w:t>Hinweis</w:t>
            </w:r>
            <w:r>
              <w:rPr>
                <w:rFonts w:cs="Arial Fett"/>
              </w:rPr>
              <w:t>: Auch die Pflege in einer Wohnung in einem anderen EU- bzw. EWR-Staat ist berü</w:t>
            </w:r>
            <w:r>
              <w:rPr>
                <w:rFonts w:cs="Arial Fett"/>
              </w:rPr>
              <w:t>cksichtigungsfähig.</w:t>
            </w:r>
          </w:p>
          <w:p w:rsidR="00000000" w:rsidRDefault="00E05160">
            <w:pPr>
              <w:pStyle w:val="txt"/>
              <w:widowControl/>
            </w:pPr>
            <w:r>
              <w:rPr>
                <w:rFonts w:cs="Arial Fett"/>
              </w:rPr>
              <w:t>Ihr Sachbearbeiter wird Ihnen ggf. weitere Details mitteilen.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nil"/>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Sind Ihnen </w:t>
            </w:r>
            <w:r>
              <w:rPr>
                <w:rStyle w:val="hvhf"/>
                <w:rFonts w:cs="Arial Fett"/>
              </w:rPr>
              <w:t>Kosten für einen Zivilprozess</w:t>
            </w:r>
            <w:r>
              <w:rPr>
                <w:rFonts w:cs="Arial Fett"/>
              </w:rPr>
              <w:t xml:space="preserve"> entstanden?</w:t>
            </w:r>
          </w:p>
          <w:p w:rsidR="00000000" w:rsidRDefault="00E05160">
            <w:pPr>
              <w:pStyle w:val="txt"/>
              <w:widowControl/>
            </w:pPr>
            <w:r>
              <w:rPr>
                <w:rFonts w:cs="Arial Fett"/>
              </w:rPr>
              <w:t>Aufwendungen für die Fü</w:t>
            </w:r>
            <w:r>
              <w:rPr>
                <w:rFonts w:cs="Arial Fett"/>
              </w:rPr>
              <w:t xml:space="preserve">hrung eines Rechtsstreits (Prozesskosten) sind vom Abzug ausgeschlossen, es sei denn, es handelt sich um Aufwendungen, ohne die der Steuerpflichtige Gefahr liefe, seine Existenzgrundlage zu verlieren und seine lebensnotwendigen Bedürfnisse in dem üblichen </w:t>
            </w:r>
            <w:r>
              <w:rPr>
                <w:rFonts w:cs="Arial Fett"/>
              </w:rPr>
              <w:t>Rahmen nicht mehr befriedigen zu können.</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nil"/>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nil"/>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Belege zu </w:t>
            </w:r>
            <w:r>
              <w:rPr>
                <w:rStyle w:val="hvhf"/>
                <w:rFonts w:cs="Arial Fett"/>
              </w:rPr>
              <w:t>sonstigen</w:t>
            </w:r>
            <w:r>
              <w:rPr>
                <w:rFonts w:cs="Arial Fett"/>
              </w:rPr>
              <w:t xml:space="preserve"> außergewöhnlichen Belastun</w:t>
            </w:r>
            <w:r>
              <w:rPr>
                <w:rFonts w:cs="Arial Fett"/>
              </w:rPr>
              <w:lastRenderedPageBreak/>
              <w:t>gen (z. B. Beerdigungskosten)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t>Hinweis</w:t>
            </w:r>
            <w:r>
              <w:rPr>
                <w:rFonts w:cs="Arial Fett"/>
              </w:rPr>
              <w:t>: Sofern Beerdigungskosten als außergewöhnliche Belastung angesetzt werden sollen, muss geklä</w:t>
            </w:r>
            <w:r>
              <w:rPr>
                <w:rFonts w:cs="Arial Fett"/>
              </w:rPr>
              <w:t>rt werden, ob Sie geerbt haben!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Sofern Sie nicht sicher sind, was noch in diesem Bereich fallen könnte, kreuzen Sie "ja" an, Ihr Sachbearbeiter wird Ihnen gerne helfen.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Einkünfte</w:t>
      </w:r>
    </w:p>
    <w:p w:rsidR="00000000" w:rsidRDefault="00E05160">
      <w:pPr>
        <w:pStyle w:val="U0"/>
        <w:widowControl/>
      </w:pPr>
      <w:r>
        <w:rPr>
          <w:rFonts w:cs="Arial Fett"/>
        </w:rPr>
        <w:t>Unternehmerische Einkünfte</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Erzielen Sie Einkünfte aus einer unternehmerischen Tätigkeit (Land- und Forstwirtschaft, Gewerbebetrieb, selbstständige Tätigkeit)?</w:t>
            </w:r>
          </w:p>
          <w:p w:rsidR="00000000" w:rsidRDefault="00E05160">
            <w:pPr>
              <w:pStyle w:val="txt"/>
              <w:widowControl/>
            </w:pPr>
            <w:r>
              <w:rPr>
                <w:rStyle w:val="hvhf"/>
                <w:rFonts w:cs="Arial Fett"/>
              </w:rPr>
              <w:t>Hinweis</w:t>
            </w:r>
            <w:r>
              <w:rPr>
                <w:rFonts w:cs="Arial Fett"/>
              </w:rPr>
              <w:t xml:space="preserve">: Auch der Betrieb einer </w:t>
            </w:r>
            <w:r>
              <w:rPr>
                <w:rStyle w:val="hvhf"/>
                <w:rFonts w:cs="Arial Fett"/>
              </w:rPr>
              <w:t>Photovoltaikanlage</w:t>
            </w:r>
            <w:r>
              <w:rPr>
                <w:rFonts w:cs="Arial Fett"/>
              </w:rPr>
              <w:t xml:space="preserve"> gilt als gewerbliche Tätigkeit.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Halten Sie eine unternehmerische </w:t>
            </w:r>
            <w:r>
              <w:rPr>
                <w:rStyle w:val="hvhf"/>
                <w:rFonts w:cs="Arial Fett"/>
              </w:rPr>
              <w:t>Beteiligung</w:t>
            </w:r>
            <w:r>
              <w:rPr>
                <w:rFonts w:cs="Arial Fett"/>
              </w:rPr>
              <w:t>, z. B. an einer Publikumsgesellschaft, Medienfonds oder sonstigen Verlustbeteiligungen?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Haben Sie </w:t>
            </w:r>
            <w:r>
              <w:rPr>
                <w:rStyle w:val="hvhf"/>
                <w:rFonts w:cs="Arial Fett"/>
              </w:rPr>
              <w:t>Anteile an einer Kapitalgesellschaft</w:t>
            </w:r>
            <w:r>
              <w:rPr>
                <w:rFonts w:cs="Arial Fett"/>
              </w:rPr>
              <w:t xml:space="preserve"> veräußert, an der Sie mindestens mit 1 </w:t>
            </w:r>
            <w:r>
              <w:rPr>
                <w:rFonts w:cs="Arial Fett"/>
              </w:rPr>
              <w:t>‰</w:t>
            </w:r>
            <w:r>
              <w:rPr>
                <w:rFonts w:cs="Arial Fett"/>
              </w:rPr>
              <w:t xml:space="preserve"> beteiligt waren?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Erzielen Sie </w:t>
            </w:r>
            <w:r>
              <w:rPr>
                <w:rStyle w:val="hvhf"/>
                <w:rFonts w:cs="Arial Fett"/>
              </w:rPr>
              <w:t>nebenberufliche Einnahmen</w:t>
            </w:r>
            <w:r>
              <w:rPr>
                <w:rFonts w:cs="Arial Fett"/>
              </w:rPr>
              <w:t>, z. B. aus einer Tätigkeit als Übungsleiter, Betreuer oder dergleichen?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Sofern Sie eine der oben angeführten Fragen mit "ja"</w:t>
            </w:r>
            <w:r>
              <w:rPr>
                <w:rFonts w:cs="Arial Fett"/>
              </w:rPr>
              <w:t xml:space="preserve"> beantwortet haben, wird Ihr Sachbearbeiter die Details mit Ihnen klären.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Tätigkeit im Angestelltenverhältnis</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Liegen alle </w:t>
            </w:r>
            <w:r>
              <w:rPr>
                <w:rStyle w:val="hvhf"/>
                <w:rFonts w:cs="Arial Fett"/>
              </w:rPr>
              <w:t>Lohnsteuerbescheinigungen</w:t>
            </w:r>
            <w:r>
              <w:rPr>
                <w:rFonts w:cs="Arial Fett"/>
              </w:rPr>
              <w:t xml:space="preserve"> mit den eTIN-Nummern vor?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Sofern Sie eine Abfindung oder Arbeitslohn für mehrere Jahre erhalten haben, reichen Sie bitte die entsprechenden Verträge sowie einen Zahlungsbeleg der Abfindung ein.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t>Hinweis</w:t>
            </w:r>
            <w:r>
              <w:rPr>
                <w:rFonts w:cs="Arial Fett"/>
              </w:rPr>
              <w:t>: Die Auszahlung einer einheitlichen Abfindung in zwei Teilbeträg</w:t>
            </w:r>
            <w:r>
              <w:rPr>
                <w:rFonts w:cs="Arial Fett"/>
              </w:rPr>
              <w:t xml:space="preserve">en steht der Anwendung des ermäßigten Steuersatzes ausnahmsweise nicht </w:t>
            </w:r>
            <w:r>
              <w:rPr>
                <w:rFonts w:cs="Arial Fett"/>
              </w:rPr>
              <w:lastRenderedPageBreak/>
              <w:t>entgegen, wenn sich die Teilzahlungen im Verhältnis zueinander eindeutig als Haupt- und Nebenleistung darstellen und wenn die Nebenleistung geringfügig ist. Eine Nebenleistung kann unte</w:t>
            </w:r>
            <w:r>
              <w:rPr>
                <w:rFonts w:cs="Arial Fett"/>
              </w:rPr>
              <w:t>r Berücksichtigung der konkreten individuellen Steuerbelastung als geringfügig anzusehen sein, wenn sie niedriger ist als die tarifliche Steuerbegünstigung der Hauptleistung. So der BFH.</w:t>
            </w:r>
            <w:r>
              <w:rPr>
                <w:rStyle w:val="Funotenverweis"/>
              </w:rPr>
              <w:footnoteReference w:id="12"/>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Haben Sie </w:t>
            </w:r>
            <w:r>
              <w:rPr>
                <w:rStyle w:val="hvhf"/>
                <w:rFonts w:cs="Arial Fett"/>
              </w:rPr>
              <w:t>Lohnersatzleistungen</w:t>
            </w:r>
            <w:r>
              <w:rPr>
                <w:rFonts w:cs="Arial Fett"/>
              </w:rPr>
              <w:t xml:space="preserve"> erhalten (Arbeitslosengeld, Hartz IV, Mutterschaftsgeld, Krankengeld etc.)?</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Zu den abzugsfähigen </w:t>
            </w:r>
            <w:r>
              <w:rPr>
                <w:rStyle w:val="hvhf"/>
                <w:rFonts w:cs="Arial Fett"/>
              </w:rPr>
              <w:t>Werbungskosten</w:t>
            </w:r>
            <w:r>
              <w:rPr>
                <w:rFonts w:cs="Arial Fett"/>
              </w:rPr>
              <w:t xml:space="preserve"> gehört grundsä</w:t>
            </w:r>
            <w:r>
              <w:rPr>
                <w:rFonts w:cs="Arial Fett"/>
              </w:rPr>
              <w:t>tzlich alles, was zur Erwerbung, Sicherung und Erhaltung der Einnahmen aufgewendet wird.</w:t>
            </w:r>
          </w:p>
          <w:p w:rsidR="00000000" w:rsidRDefault="00E05160">
            <w:pPr>
              <w:pStyle w:val="txt"/>
              <w:widowControl/>
            </w:pPr>
            <w:r>
              <w:rPr>
                <w:rStyle w:val="hvhf"/>
                <w:rFonts w:cs="Arial Fett"/>
              </w:rPr>
              <w:t>Hinweis 1:</w:t>
            </w:r>
            <w:r>
              <w:rPr>
                <w:rFonts w:cs="Arial Fett"/>
              </w:rPr>
              <w:t xml:space="preserve"> Aufgrund der Rechtsprechung und den gesetzlichen Regelungen zum häuslichen Arbeitszimmer ist ein voller Abzug der Kosten möglich, wenn das Arbeitszimmer den</w:t>
            </w:r>
            <w:r>
              <w:rPr>
                <w:rFonts w:cs="Arial Fett"/>
              </w:rPr>
              <w:t xml:space="preserve"> Mittelpunkt der gesamten betrieblichen und beruflichen Tätigkeit bildet. Sofern für die Tätigkeit kein anderer Arbeitsplatz zur Verfügung steht, das Arbeitszimmer jedoch nicht der oben genannte Mittelpunkt ist, können die Kosten bis zu 1.250 EUR zum Abzug</w:t>
            </w:r>
            <w:r>
              <w:rPr>
                <w:rFonts w:cs="Arial Fett"/>
              </w:rPr>
              <w:t xml:space="preserve"> gebracht werden. In allen anderen Fällen herrscht ein Abzugsverbot.</w:t>
            </w:r>
          </w:p>
          <w:p w:rsidR="00000000" w:rsidRDefault="00E05160">
            <w:pPr>
              <w:pStyle w:val="txt"/>
              <w:widowControl/>
            </w:pPr>
            <w:r>
              <w:rPr>
                <w:rStyle w:val="hvhf"/>
                <w:rFonts w:cs="Arial Fett"/>
              </w:rPr>
              <w:t>Hinweis 2</w:t>
            </w:r>
            <w:r>
              <w:rPr>
                <w:rFonts w:cs="Arial Fett"/>
              </w:rPr>
              <w:t>: Der Große Senat des BFH</w:t>
            </w:r>
            <w:r>
              <w:rPr>
                <w:rStyle w:val="Funotenverweis"/>
              </w:rPr>
              <w:footnoteReference w:id="13"/>
            </w:r>
            <w:r>
              <w:rPr>
                <w:rFonts w:cs="Arial Fett"/>
              </w:rPr>
              <w:t xml:space="preserve"> hat entschieden, dass der Begriff des häuslichen Arbeitszimmers voraussetzt, dass der je</w:t>
            </w:r>
            <w:r>
              <w:rPr>
                <w:rFonts w:cs="Arial Fett"/>
              </w:rPr>
              <w:t>weilige Raum ausschließlich oder nahezu ausschließlich für betriebliche / berufliche Zwecke genutzt wird. Ein gemischt genutzter Raum, eine Arbeitsecke in einem Wohnraum oder auch ein durch Raumteiler in einen Arbeits- und Wohnbereich getrennter Raum könne</w:t>
            </w:r>
            <w:r>
              <w:rPr>
                <w:rFonts w:cs="Arial Fett"/>
              </w:rPr>
              <w:t>n daher nicht als häusliches Arbeitszimmer berücksichtigt werden.</w:t>
            </w:r>
          </w:p>
          <w:p w:rsidR="00000000" w:rsidRDefault="00E05160">
            <w:pPr>
              <w:pStyle w:val="txt"/>
              <w:widowControl/>
            </w:pPr>
            <w:r>
              <w:rPr>
                <w:rStyle w:val="hvhf"/>
                <w:rFonts w:cs="Arial Fett"/>
              </w:rPr>
              <w:t>Hinweis 3</w:t>
            </w:r>
            <w:r>
              <w:rPr>
                <w:rFonts w:cs="Arial Fett"/>
              </w:rPr>
              <w:t>: Wer im Jahr 2021 aufgrund von Corona im Homeoffice gearbeitet hat, kann über die grundsätzlichen Regeln hinaus mit steuerlichen Erleichterungen rechnen. Im Jahressteuergesetzes 20</w:t>
            </w:r>
            <w:r>
              <w:rPr>
                <w:rFonts w:cs="Arial Fett"/>
              </w:rPr>
              <w:t>20 wurde beschlossen, das Steuerpflichtige für jeden Kalendertag, an dem sie ausschließlich in der häuslichen Wohnung arbeiten, einen Betrag von 5 Euro geltend machen können. Zu den konkreten Details sprechen Sie bitte Ihren Sachbearbeiter an, da insbesond</w:t>
            </w:r>
            <w:r>
              <w:rPr>
                <w:rFonts w:cs="Arial Fett"/>
              </w:rPr>
              <w:t>ere mit entsprechender Corona-Regelung ein schneller Wandel gegeben ist.</w:t>
            </w:r>
          </w:p>
          <w:p w:rsidR="00000000" w:rsidRDefault="00E05160">
            <w:pPr>
              <w:pStyle w:val="txt"/>
              <w:widowControl/>
            </w:pPr>
            <w:r>
              <w:rPr>
                <w:rFonts w:cs="Arial Fett"/>
              </w:rPr>
              <w:t xml:space="preserve">Sie können eine Homeoffice-Pauschale von 5 EUR </w:t>
            </w:r>
            <w:r>
              <w:rPr>
                <w:rFonts w:cs="Arial Fett"/>
              </w:rPr>
              <w:lastRenderedPageBreak/>
              <w:t>pro Arbeitstag, maximal aber 120 Arbeitstage geltend machen. Im Ergebnis können daher bis zu 600 EUR im Kalenderjahr berücksichtigt werd</w:t>
            </w:r>
            <w:r>
              <w:rPr>
                <w:rFonts w:cs="Arial Fett"/>
              </w:rPr>
              <w:t>en. Dafür gelten folgende Voraussetzungen:</w:t>
            </w:r>
          </w:p>
          <w:p w:rsidR="00000000" w:rsidRDefault="00E05160">
            <w:pPr>
              <w:pStyle w:val="L1a"/>
              <w:widowControl/>
              <w:numPr>
                <w:ilvl w:val="0"/>
                <w:numId w:val="40"/>
              </w:numPr>
              <w:tabs>
                <w:tab w:val="left" w:pos="514"/>
              </w:tabs>
            </w:pPr>
            <w:r>
              <w:rPr>
                <w:rFonts w:cs="Arial Fett"/>
              </w:rPr>
              <w:t>Es liegt kein häusliches Arbeitszimmer vor oder auf den Abzug von Aufwendungen für das häusliche Arbeitszimmer wird verzichtet.</w:t>
            </w:r>
          </w:p>
          <w:p w:rsidR="00000000" w:rsidRDefault="00E05160">
            <w:pPr>
              <w:pStyle w:val="L1a"/>
              <w:widowControl/>
              <w:numPr>
                <w:ilvl w:val="0"/>
                <w:numId w:val="40"/>
              </w:numPr>
              <w:tabs>
                <w:tab w:val="left" w:pos="514"/>
              </w:tabs>
            </w:pPr>
            <w:r>
              <w:rPr>
                <w:rFonts w:cs="Arial Fett"/>
              </w:rPr>
              <w:t>An den entsprechenden Tagen muss die gesamte betriebliche oder berufliche Tätigkeit</w:t>
            </w:r>
            <w:r>
              <w:rPr>
                <w:rFonts w:cs="Arial Fett"/>
              </w:rPr>
              <w:t xml:space="preserve"> ausschließlich im Homeoffice ausgeübt werden.</w:t>
            </w:r>
          </w:p>
          <w:p w:rsidR="00000000" w:rsidRDefault="00E05160">
            <w:pPr>
              <w:pStyle w:val="L1a"/>
              <w:widowControl/>
              <w:numPr>
                <w:ilvl w:val="0"/>
                <w:numId w:val="40"/>
              </w:numPr>
              <w:tabs>
                <w:tab w:val="left" w:pos="514"/>
              </w:tabs>
            </w:pPr>
            <w:r>
              <w:rPr>
                <w:rFonts w:cs="Arial Fett"/>
              </w:rPr>
              <w:t>Dienstreisen oder Dienstgänge schließen an dem entsprechenden Tag die Homeoffice-Pauschale aus.</w:t>
            </w:r>
          </w:p>
          <w:p w:rsidR="00000000" w:rsidRDefault="00E05160">
            <w:pPr>
              <w:pStyle w:val="L1a"/>
              <w:widowControl/>
              <w:numPr>
                <w:ilvl w:val="0"/>
                <w:numId w:val="40"/>
              </w:numPr>
              <w:tabs>
                <w:tab w:val="left" w:pos="514"/>
              </w:tabs>
            </w:pPr>
            <w:r>
              <w:rPr>
                <w:rFonts w:cs="Arial Fett"/>
              </w:rPr>
              <w:t>Ein Abzug neben dem Arbeitnehmer-Pauschbetrag ist nicht möglich.</w:t>
            </w:r>
          </w:p>
          <w:p w:rsidR="00000000" w:rsidRDefault="00E05160">
            <w:pPr>
              <w:pStyle w:val="txt"/>
              <w:widowControl/>
            </w:pPr>
            <w:r>
              <w:rPr>
                <w:rFonts w:cs="Arial Fett"/>
              </w:rPr>
              <w:t>Weitere Hintergrü</w:t>
            </w:r>
            <w:r>
              <w:rPr>
                <w:rFonts w:cs="Arial Fett"/>
              </w:rPr>
              <w:t xml:space="preserve">nde der Homeoffice-Pauschale sind dem </w:t>
            </w:r>
            <w:r>
              <w:rPr>
                <w:rStyle w:val="verwva"/>
                <w:rFonts w:cs="Arial Fett"/>
              </w:rPr>
              <w:t>BMF-Schreiben vom 9.7.2021</w:t>
            </w:r>
            <w:r>
              <w:rPr>
                <w:rStyle w:val="Funotenverweis"/>
              </w:rPr>
              <w:footnoteReference w:id="14"/>
            </w:r>
            <w:r>
              <w:rPr>
                <w:rFonts w:cs="Arial Fett"/>
              </w:rPr>
              <w:t xml:space="preserve"> zu entnehmen. Danach gilt beispielsweise (nur Auszüge):</w:t>
            </w:r>
          </w:p>
          <w:p w:rsidR="00000000" w:rsidRDefault="00E05160">
            <w:pPr>
              <w:pStyle w:val="L1a"/>
              <w:widowControl/>
              <w:numPr>
                <w:ilvl w:val="0"/>
                <w:numId w:val="41"/>
              </w:numPr>
              <w:tabs>
                <w:tab w:val="left" w:pos="514"/>
              </w:tabs>
            </w:pPr>
            <w:r>
              <w:rPr>
                <w:rFonts w:cs="Arial Fett"/>
              </w:rPr>
              <w:t>Aufwendungen für Arbeitsmittel und Telefon-/Internetkosten sind durch di</w:t>
            </w:r>
            <w:r>
              <w:rPr>
                <w:rFonts w:cs="Arial Fett"/>
              </w:rPr>
              <w:t>e Homeoffice- Pauschale nicht abgegolten.</w:t>
            </w:r>
          </w:p>
          <w:p w:rsidR="00000000" w:rsidRDefault="00E05160">
            <w:pPr>
              <w:pStyle w:val="L1a"/>
              <w:widowControl/>
              <w:numPr>
                <w:ilvl w:val="0"/>
                <w:numId w:val="41"/>
              </w:numPr>
              <w:tabs>
                <w:tab w:val="left" w:pos="514"/>
              </w:tabs>
            </w:pPr>
            <w:r>
              <w:rPr>
                <w:rFonts w:cs="Arial Fett"/>
              </w:rPr>
              <w:t xml:space="preserve">Wenn Monats-/Jahrestickets für zunächst beabsichtigte Fahrten zur ersten Tätigkeitsstätte erworben wurden und die Fahrten aufgrund tatsächlicher Tätigkeit in der häuslichen Wohnung nicht durchgeführt wurden, sind </w:t>
            </w:r>
            <w:r>
              <w:rPr>
                <w:rFonts w:cs="Arial Fett"/>
              </w:rPr>
              <w:t>die Aufwendungen für öffentliche Verkehrsmittel als tatsächliche Kosten (Günstigerprüfung gegenüber der Entfernungspauschale, § 9 Abs. 2 Satz 2 EStG) neben der Homeoffice-Pauschale abziehbar.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2"/>
              </w:numPr>
              <w:tabs>
                <w:tab w:val="left" w:pos="514"/>
              </w:tabs>
            </w:pPr>
            <w:r>
              <w:rPr>
                <w:rFonts w:cs="Arial Fett"/>
              </w:rPr>
              <w:t xml:space="preserve">Angaben zu den </w:t>
            </w:r>
            <w:r>
              <w:rPr>
                <w:rStyle w:val="hvhf"/>
                <w:rFonts w:cs="Arial Fett"/>
              </w:rPr>
              <w:t>Fahrten zwischen Wohnung und Arbeitsstätte</w:t>
            </w:r>
            <w:r>
              <w:rPr>
                <w:rFonts w:cs="Arial Fett"/>
              </w:rPr>
              <w:t xml:space="preserve"> (Entfernung in km, Anzahl der Fahrten, Anschrift der Arbeitsstätte, eventuelle Unfallkosten)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t>Hinweis 1</w:t>
            </w:r>
            <w:r>
              <w:rPr>
                <w:rFonts w:cs="Arial Fett"/>
              </w:rPr>
              <w:t>: Anwendung findet die Entfernungspauschale nur bei Fahrten zur ersten Tätigkeitsstätte.</w:t>
            </w:r>
          </w:p>
          <w:p w:rsidR="00000000" w:rsidRDefault="00E05160">
            <w:pPr>
              <w:pStyle w:val="txt"/>
              <w:widowControl/>
            </w:pPr>
            <w:r>
              <w:rPr>
                <w:rFonts w:cs="Arial Fett"/>
              </w:rPr>
              <w:t>Son</w:t>
            </w:r>
            <w:r>
              <w:rPr>
                <w:rFonts w:cs="Arial Fett"/>
              </w:rPr>
              <w:t>stige berufliche Fahrten werden nach Reisekostengrundsätzen als Werbungskosten berücksichtigt, was zu einem höheren Abzug als die Entfernungspauschale führt. Da allein durch die Festlegung der ersten Tätigkeitsstätte ggf. ein Steuervorteil erzielt werden k</w:t>
            </w:r>
            <w:r>
              <w:rPr>
                <w:rFonts w:cs="Arial Fett"/>
              </w:rPr>
              <w:t>ann, sollten Sie Ihren Sachbearbeiter auf etwaigen Handlungsbedarf ansprechen.</w:t>
            </w:r>
          </w:p>
          <w:p w:rsidR="00000000" w:rsidRDefault="00E05160">
            <w:pPr>
              <w:pStyle w:val="txt"/>
              <w:widowControl/>
            </w:pPr>
            <w:r>
              <w:rPr>
                <w:rStyle w:val="hvhf"/>
                <w:rFonts w:cs="Arial Fett"/>
              </w:rPr>
              <w:t>Hinweis 2</w:t>
            </w:r>
            <w:r>
              <w:rPr>
                <w:rFonts w:cs="Arial Fett"/>
              </w:rPr>
              <w:t>: Leistet der Arbeitnehmer an den Arbeit</w:t>
            </w:r>
            <w:r>
              <w:rPr>
                <w:rFonts w:cs="Arial Fett"/>
              </w:rPr>
              <w:lastRenderedPageBreak/>
              <w:t>geber für die außerdienstliche Nutzung, d. h. für die Nutzung zu privaten Fahrten und zu Fahrten zwischen Wohnung und regelmäßig</w:t>
            </w:r>
            <w:r>
              <w:rPr>
                <w:rFonts w:cs="Arial Fett"/>
              </w:rPr>
              <w:t>er Arbeitsstätte, eines betrieblichen Kfz ein Nutzungsentgelt, mindert dies den Wert des geldwerten Vorteils aus der Nutzungsüberlassung.</w:t>
            </w:r>
            <w:r>
              <w:rPr>
                <w:rStyle w:val="Funotenverweis"/>
              </w:rPr>
              <w:footnoteReference w:id="15"/>
            </w:r>
          </w:p>
          <w:p w:rsidR="00000000" w:rsidRDefault="00E05160">
            <w:pPr>
              <w:pStyle w:val="txt"/>
              <w:widowControl/>
            </w:pPr>
            <w:r>
              <w:rPr>
                <w:rFonts w:cs="Arial Fett"/>
              </w:rPr>
              <w:t>Nichts anderes gilt, wenn der Arbeitnehmer im Rahmen der privaten Nutzung einzelne (individuelle) Kosten (z. B. Kraftstoffkosten) des betrieblichen PKW trägt. Der Umstand, dass der geldwerte Vorteil aus der Kfz-Überlassung nach der 1%-Regelung ermittelt wo</w:t>
            </w:r>
            <w:r>
              <w:rPr>
                <w:rFonts w:cs="Arial Fett"/>
              </w:rPr>
              <w:t>rden ist, steht dem nicht entgegen.</w:t>
            </w:r>
          </w:p>
          <w:p w:rsidR="00000000" w:rsidRDefault="00E05160">
            <w:pPr>
              <w:pStyle w:val="txt"/>
              <w:widowControl/>
            </w:pPr>
            <w:r>
              <w:rPr>
                <w:rFonts w:cs="Arial Fett"/>
              </w:rPr>
              <w:t>Eine vorteilsmindernde Berücksichtigung der für den betrieblichen PKW getragenen Aufwendungen beim Arbeitnehmer kommt allerdings nur in Betracht, wenn er den geltend gemachten Aufwand im Einzelnen umfassend darlegt und b</w:t>
            </w:r>
            <w:r>
              <w:rPr>
                <w:rFonts w:cs="Arial Fett"/>
              </w:rPr>
              <w:t>elastbar nachweist.</w:t>
            </w:r>
            <w:r>
              <w:rPr>
                <w:rStyle w:val="Funotenverweis"/>
              </w:rPr>
              <w:footnoteReference w:id="16"/>
            </w:r>
          </w:p>
          <w:p w:rsidR="00000000" w:rsidRDefault="00E05160">
            <w:pPr>
              <w:pStyle w:val="txt"/>
              <w:widowControl/>
            </w:pPr>
            <w:r>
              <w:rPr>
                <w:rFonts w:cs="Arial Fett"/>
              </w:rPr>
              <w:t xml:space="preserve">Spezialfall Garagenkosten: Die Minderung des geldwerten Vorteils aus der Überlassung eines betrieblichen Kraftfahrzeugs kommt nur für solche Aufwendungen des Arbeitnehmers </w:t>
            </w:r>
            <w:r>
              <w:rPr>
                <w:rFonts w:cs="Arial Fett"/>
              </w:rPr>
              <w:t>in Betracht, die für ihn aus rechtlichen oder tatsächlichen Gründen notwendig sind, um das Fahrzeug nutzen zu dürfen, also wenn sie zur Erfüllung einer arbeitsvertraglichen Klausel oder zwangsläufig zur Inbetriebnahme des Fahrzeugs erforderlich sind. Die a</w:t>
            </w:r>
            <w:r>
              <w:rPr>
                <w:rFonts w:cs="Arial Fett"/>
              </w:rPr>
              <w:t>nteilig auf eine private Garage eines Arbeitnehmers entfallenden Gebäudekosten mindern den geldwerten Vorteil aus der Nutzungsüberlassung eines betrieblichen Fahrzeugs nicht, wenn sich die Unterbringung des Fahrzeugs in der eigenen Garage als freiwillige L</w:t>
            </w:r>
            <w:r>
              <w:rPr>
                <w:rFonts w:cs="Arial Fett"/>
              </w:rPr>
              <w:t>eistung des Arbeitnehmers darstellt.</w:t>
            </w:r>
            <w:r>
              <w:rPr>
                <w:rStyle w:val="Funotenverweis"/>
              </w:rPr>
              <w:footnoteReference w:id="17"/>
            </w:r>
            <w:r>
              <w:rPr>
                <w:rFonts w:cs="Arial Fett"/>
              </w:rPr>
              <w:t xml:space="preserve"> Diese Entscheidung ist vorläufig nicht rechtskräftig, weshalb das abschließende Wort noch der BFH</w:t>
            </w:r>
            <w:r>
              <w:rPr>
                <w:rStyle w:val="Funotenverweis"/>
              </w:rPr>
              <w:footnoteReference w:id="18"/>
            </w:r>
            <w:r>
              <w:rPr>
                <w:rFonts w:cs="Arial Fett"/>
              </w:rPr>
              <w:t xml:space="preserve"> hat. Sollten </w:t>
            </w:r>
            <w:r>
              <w:rPr>
                <w:rFonts w:cs="Arial Fett"/>
              </w:rPr>
              <w:t>Sie davon betroffen sein, könnten Sie auch mit Ihrem Sachbearbeiter Gestaltungen absprechen, die eine Berücksichtigung der privaten Garagenkosten gewährleisten.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3"/>
              </w:numPr>
              <w:tabs>
                <w:tab w:val="left" w:pos="514"/>
              </w:tabs>
            </w:pPr>
            <w:r>
              <w:rPr>
                <w:rFonts w:cs="Arial Fett"/>
              </w:rPr>
              <w:t xml:space="preserve">Angaben zu </w:t>
            </w:r>
            <w:r>
              <w:rPr>
                <w:rStyle w:val="hvhf"/>
                <w:rFonts w:cs="Arial Fett"/>
              </w:rPr>
              <w:t>Reisekosten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4"/>
              </w:numPr>
              <w:tabs>
                <w:tab w:val="left" w:pos="514"/>
              </w:tabs>
            </w:pPr>
            <w:r>
              <w:rPr>
                <w:rFonts w:cs="Arial Fett"/>
              </w:rPr>
              <w:t xml:space="preserve">Angaben zu </w:t>
            </w:r>
            <w:r>
              <w:rPr>
                <w:rStyle w:val="hvhf"/>
                <w:rFonts w:cs="Arial Fett"/>
              </w:rPr>
              <w:t>Verpflegungsmehraufwendungen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5"/>
              </w:numPr>
              <w:tabs>
                <w:tab w:val="left" w:pos="514"/>
              </w:tabs>
            </w:pPr>
            <w:r>
              <w:rPr>
                <w:rFonts w:cs="Arial Fett"/>
              </w:rPr>
              <w:t xml:space="preserve">Liegt eine </w:t>
            </w:r>
            <w:r>
              <w:rPr>
                <w:rStyle w:val="hvhf"/>
                <w:rFonts w:cs="Arial Fett"/>
              </w:rPr>
              <w:t>doppelte Haushaltsführung</w:t>
            </w:r>
            <w:r>
              <w:rPr>
                <w:rFonts w:cs="Arial Fett"/>
              </w:rPr>
              <w:t xml:space="preserve"> vor?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(Sofern "ja" angekreuzt wird, wird Ihr Sachbearbeiter </w:t>
            </w:r>
            <w:r>
              <w:rPr>
                <w:rFonts w:cs="Arial Fett"/>
              </w:rPr>
              <w:lastRenderedPageBreak/>
              <w:t>bei der Zusammenstellung der Aufwendungen helfen.)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t>Belege</w:t>
            </w:r>
            <w:r>
              <w:rPr>
                <w:rFonts w:cs="Arial Fett"/>
              </w:rPr>
              <w:t xml:space="preserve"> über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6"/>
              </w:numPr>
              <w:tabs>
                <w:tab w:val="left" w:pos="514"/>
              </w:tabs>
            </w:pPr>
            <w:r>
              <w:rPr>
                <w:rFonts w:cs="Arial Fett"/>
              </w:rPr>
              <w:t>Beiträ</w:t>
            </w:r>
            <w:r>
              <w:rPr>
                <w:rFonts w:cs="Arial Fett"/>
              </w:rPr>
              <w:t>ge zu Berufsverbänden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7"/>
              </w:numPr>
              <w:tabs>
                <w:tab w:val="left" w:pos="514"/>
              </w:tabs>
            </w:pPr>
            <w:r>
              <w:rPr>
                <w:rFonts w:cs="Arial Fett"/>
              </w:rPr>
              <w:t>Fortbildungsaufwendungen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8"/>
              </w:numPr>
              <w:tabs>
                <w:tab w:val="left" w:pos="514"/>
              </w:tabs>
            </w:pPr>
            <w:r>
              <w:rPr>
                <w:rFonts w:cs="Arial Fett"/>
              </w:rPr>
              <w:t>Fachliteratur, Fachzeitschriften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49"/>
              </w:numPr>
              <w:tabs>
                <w:tab w:val="left" w:pos="514"/>
              </w:tabs>
            </w:pPr>
            <w:r>
              <w:rPr>
                <w:rFonts w:cs="Arial Fett"/>
              </w:rPr>
              <w:t>Arbeitsmittel (z. B. Büromaterial, Computer, Werkzeuge etc.)</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0"/>
              </w:numPr>
              <w:tabs>
                <w:tab w:val="left" w:pos="514"/>
              </w:tabs>
            </w:pPr>
            <w:r>
              <w:rPr>
                <w:rFonts w:cs="Arial Fett"/>
              </w:rPr>
              <w:t>typische Arbeitskleidung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1"/>
              </w:numPr>
              <w:tabs>
                <w:tab w:val="left" w:pos="514"/>
              </w:tabs>
            </w:pPr>
            <w:r>
              <w:rPr>
                <w:rFonts w:cs="Arial Fett"/>
              </w:rPr>
              <w:t>Steuerberatungskosten (ausschließlich) für das Angestelltenverhältnis</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2"/>
              </w:numPr>
              <w:tabs>
                <w:tab w:val="left" w:pos="514"/>
              </w:tabs>
            </w:pPr>
            <w:r>
              <w:rPr>
                <w:rFonts w:cs="Arial Fett"/>
              </w:rPr>
              <w:t>Umzugskosten (Sachbearbeiter ansprechen)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3"/>
              </w:numPr>
              <w:tabs>
                <w:tab w:val="left" w:pos="514"/>
              </w:tabs>
            </w:pPr>
            <w:r>
              <w:rPr>
                <w:rFonts w:cs="Arial Fett"/>
              </w:rPr>
              <w:t>Sofern Sie von Ihrem Arbeitgeber Erstattungen zu Ihren aufgewendeten Werbungskosten erhalten haben, bitte diese gesondert aufführen.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4"/>
              </w:numPr>
              <w:tabs>
                <w:tab w:val="left" w:pos="514"/>
              </w:tabs>
            </w:pPr>
            <w:r>
              <w:rPr>
                <w:rFonts w:cs="Arial Fett"/>
              </w:rPr>
              <w:t xml:space="preserve">Weitere Werbungskosten </w:t>
            </w:r>
            <w:r>
              <w:rPr>
                <w:rFonts w:cs="Arial Fett"/>
              </w:rPr>
              <w:t>–</w:t>
            </w:r>
            <w:r>
              <w:rPr>
                <w:rFonts w:cs="Arial Fett"/>
              </w:rPr>
              <w:t xml:space="preserve"> sofern Sie nicht sicher sind, was Sie noch berücksichtigen können, kreuzen Sie </w:t>
            </w:r>
            <w:r>
              <w:rPr>
                <w:rFonts w:cs="Arial Fett"/>
              </w:rPr>
              <w:t>"ja" an und Ihr Sachbearbeiter wird Sie gerne beraten.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5"/>
              </w:numPr>
              <w:tabs>
                <w:tab w:val="left" w:pos="514"/>
              </w:tabs>
            </w:pPr>
            <w:r>
              <w:rPr>
                <w:rFonts w:cs="Arial Fett"/>
              </w:rPr>
              <w:t>Liegt Ihnen eine Bescheinigung (Anlage VL) zum Antrag auf Festsetzung der Arbeitnehmer-Sparzulage Ihres Anlageinstituts vor?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Kapitalvermögen</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Seit 2009 unterliegen </w:t>
            </w:r>
            <w:r>
              <w:rPr>
                <w:rStyle w:val="hvhf"/>
                <w:rFonts w:cs="Arial Fett"/>
              </w:rPr>
              <w:t>Kapitaleinkünfte</w:t>
            </w:r>
            <w:r>
              <w:rPr>
                <w:rFonts w:cs="Arial Fett"/>
              </w:rPr>
              <w:t xml:space="preserve"> (z. B. Zinseinnahmen und Aktiengeschäfte) der Abgeltungsteuer. Es wird daher insoweit grundsätzlich nicht mehr der persönliche Steuersatz angewendet. Dennoch sind sä</w:t>
            </w:r>
            <w:r>
              <w:rPr>
                <w:rFonts w:cs="Arial Fett"/>
              </w:rPr>
              <w:t>mtliche Unterlagen einzureichen:</w:t>
            </w:r>
          </w:p>
          <w:p w:rsidR="00000000" w:rsidRDefault="00E05160">
            <w:pPr>
              <w:pStyle w:val="txt"/>
              <w:widowControl/>
            </w:pPr>
            <w:r>
              <w:rPr>
                <w:rStyle w:val="hvhf"/>
                <w:rFonts w:cs="Arial Fett"/>
              </w:rPr>
              <w:t>Hinweis 1</w:t>
            </w:r>
            <w:r>
              <w:rPr>
                <w:rFonts w:cs="Arial Fett"/>
              </w:rPr>
              <w:t>: Ihre Bank prüft unter Angabe Ihrer Identifikationsnummer einmal jährlich Ihre Kirchenzugehörigkeit zum Zweck des Kirchensteuerabzugs auf die Kapitalertragsteuer (Abgeltungsteuer) beim Bundeszentralamt für Steuern</w:t>
            </w:r>
            <w:r>
              <w:rPr>
                <w:rFonts w:cs="Arial Fett"/>
              </w:rPr>
              <w:t xml:space="preserve"> und wird die entsprechende Kirchensteuer automatisch einbehalten. Ist dies nicht in Ihrem Sinn, können Sie unter Angabe Ihrer Identifikationsnummern beim Bundeszentralamt für Steuern den automatischen Datenabruf Ihrer Kirchenzugehörigkeit sperren lassen. </w:t>
            </w:r>
            <w:r>
              <w:rPr>
                <w:rFonts w:cs="Arial Fett"/>
              </w:rPr>
              <w:t>Ein solcher Sperrvermerk verpflichtet Sie jedoch eine Steuerer</w:t>
            </w:r>
            <w:r>
              <w:rPr>
                <w:rFonts w:cs="Arial Fett"/>
              </w:rPr>
              <w:lastRenderedPageBreak/>
              <w:t>klärung abzugeben, damit eventuelle Kirchensteuer nacherhoben werden kann.</w:t>
            </w:r>
          </w:p>
          <w:p w:rsidR="00000000" w:rsidRDefault="00E05160">
            <w:pPr>
              <w:pStyle w:val="txt"/>
              <w:widowControl/>
            </w:pPr>
            <w:r>
              <w:rPr>
                <w:rStyle w:val="hvhf"/>
                <w:rFonts w:cs="Arial Fett"/>
              </w:rPr>
              <w:t>Hinweis 2</w:t>
            </w:r>
            <w:r>
              <w:rPr>
                <w:rFonts w:cs="Arial Fett"/>
              </w:rPr>
              <w:t>: Nur bei Vorliegen sämtlicher Unterlagen kann geprüft werden, ob die Besteuerung im persönlichen Steuersatz g</w:t>
            </w:r>
            <w:r>
              <w:rPr>
                <w:rFonts w:cs="Arial Fett"/>
              </w:rPr>
              <w:t>ünstiger ist als in der Abgeltungsteuer.</w:t>
            </w:r>
          </w:p>
          <w:p w:rsidR="00000000" w:rsidRDefault="00E05160">
            <w:pPr>
              <w:pStyle w:val="txt"/>
              <w:widowControl/>
            </w:pPr>
            <w:r>
              <w:rPr>
                <w:rStyle w:val="hvhf"/>
                <w:rFonts w:cs="Arial Fett"/>
              </w:rPr>
              <w:t>Hinweis 3</w:t>
            </w:r>
            <w:r>
              <w:rPr>
                <w:rFonts w:cs="Arial Fett"/>
              </w:rPr>
              <w:t>: Auch die ersatzlose Ausbuchung endgültig wertlos gewordener Aktien durch die das Depot führende Bank führt zu einem einkommensteuerlich berücksichtigungsfähigen Verlust aus Kapitalvermögen. Sofern daher s</w:t>
            </w:r>
            <w:r>
              <w:rPr>
                <w:rFonts w:cs="Arial Fett"/>
              </w:rPr>
              <w:t>olche Fälle gegeben sind, sprechen Sie Ihren Sachbearbeiter an. Der Verlustberücksichtigung steht auch nicht etwa der Umstand entgegen, dass Sie keine Bescheinigung i. S. d. § 43a Abs. 3 S. 4 EStG von der Bank erhalten haben.</w:t>
            </w:r>
            <w:r>
              <w:rPr>
                <w:rStyle w:val="Funotenverweis"/>
              </w:rPr>
              <w:footnoteReference w:id="19"/>
            </w:r>
            <w:r>
              <w:rPr>
                <w:rFonts w:cs="Arial Fett"/>
              </w:rPr>
              <w:t xml:space="preserve"> Die Frage ist mittlerweile rechtsanhängig beim BFH.</w:t>
            </w:r>
            <w:r>
              <w:rPr>
                <w:rStyle w:val="Funotenverweis"/>
              </w:rPr>
              <w:footnoteReference w:id="20"/>
            </w:r>
            <w:r>
              <w:rPr>
                <w:rFonts w:cs="Arial Fett"/>
              </w:rPr>
              <w:t xml:space="preserve"> Normenkontrollverfahren beim Verfahren durch Beschluss vom 1.7.2021 bis zur Entscheidung des BVerfG im Verfahren 2 BvL 3/21 ausgeset</w:t>
            </w:r>
            <w:r>
              <w:rPr>
                <w:rFonts w:cs="Arial Fett"/>
              </w:rPr>
              <w:t>zt.</w:t>
            </w:r>
          </w:p>
          <w:p w:rsidR="00000000" w:rsidRDefault="00E05160">
            <w:pPr>
              <w:pStyle w:val="txt"/>
              <w:widowControl/>
            </w:pPr>
            <w:r>
              <w:rPr>
                <w:rFonts w:cs="Arial Fett"/>
              </w:rPr>
              <w:t>Ab 2021 kommt es im Zusammenhang mit den Verlusten aus Kapitalvermögen abermals zu Änderungen.</w:t>
            </w:r>
            <w:r>
              <w:rPr>
                <w:rStyle w:val="Funotenverweis"/>
              </w:rPr>
              <w:footnoteReference w:id="21"/>
            </w:r>
            <w:r>
              <w:rPr>
                <w:rFonts w:cs="Arial Fett"/>
              </w:rPr>
              <w:t xml:space="preserve"> Es hat insoweit den Anschein, als wenn diese Regelung als politischer Spielball genutzt wird. Verluste aus Termingeschäften, insbes</w:t>
            </w:r>
            <w:r>
              <w:rPr>
                <w:rFonts w:cs="Arial Fett"/>
              </w:rPr>
              <w:t>ondere aus dem Verfall von Optionen können nur mit Gewinnen aus Termingeschäften und mit Erträgen aus Stillhaltergeschäften ausgeglichen werden. Die Verlustverrechnung ist beschränkt auf 20.000 EUR. Verluste aus der ganzen oder teilweisen Uneinbringlichkei</w:t>
            </w:r>
            <w:r>
              <w:rPr>
                <w:rFonts w:cs="Arial Fett"/>
              </w:rPr>
              <w:t>t einer Kapitalforderung, aus der Ausbuchung wertlos Wirtschaftsgüter, aus der Übertragung wertloser Wirtschaftsgüter auf einen Dritten oder aus einem sonstigen Ausfall von Wirtschaftsgütern im Sinne des § 20 Abs. 1 EStG können nur mit Einkünften aus Kapit</w:t>
            </w:r>
            <w:r>
              <w:rPr>
                <w:rFonts w:cs="Arial Fett"/>
              </w:rPr>
              <w:t>alvermögen bis zur Höhe von 20.000 EUR ausgeglichen werden.</w:t>
            </w:r>
            <w:r>
              <w:rPr>
                <w:rStyle w:val="Funotenverweis"/>
              </w:rPr>
              <w:footnoteReference w:id="22"/>
            </w:r>
          </w:p>
          <w:p w:rsidR="00000000" w:rsidRDefault="00E05160">
            <w:pPr>
              <w:pStyle w:val="txt"/>
              <w:widowControl/>
            </w:pPr>
            <w:r>
              <w:rPr>
                <w:rFonts w:cs="Arial Fett"/>
              </w:rPr>
              <w:t>Nicht verrechnete Verluste können nur auf Folgejahre vorgetragen werden und dort auch jeweils nur in Höhe von 20.000 EUR mit Einkünften aus Kapitalvermö</w:t>
            </w:r>
            <w:r>
              <w:rPr>
                <w:rFonts w:cs="Arial Fett"/>
              </w:rPr>
              <w:t>gen verrechnet werden.</w:t>
            </w:r>
          </w:p>
          <w:p w:rsidR="00000000" w:rsidRDefault="00E05160">
            <w:pPr>
              <w:pStyle w:val="txt"/>
              <w:widowControl/>
            </w:pPr>
            <w:r>
              <w:rPr>
                <w:rFonts w:cs="Arial Fett"/>
              </w:rPr>
              <w:t>Ob diese neue Gesetzeslage einer verfassungsrechtlichen Überprüfung standhält, bleibt abzuwar</w:t>
            </w:r>
            <w:r>
              <w:rPr>
                <w:rFonts w:cs="Arial Fett"/>
              </w:rPr>
              <w:lastRenderedPageBreak/>
              <w:t>ten. Aktuell ist ein Normenkontrollverfahren beim BVerfG</w:t>
            </w:r>
            <w:r>
              <w:rPr>
                <w:rStyle w:val="Funotenverweis"/>
              </w:rPr>
              <w:footnoteReference w:id="23"/>
            </w:r>
            <w:r>
              <w:rPr>
                <w:rFonts w:cs="Arial Fett"/>
              </w:rPr>
              <w:t xml:space="preserve"> anhängig, in dem es um die Verfassun</w:t>
            </w:r>
            <w:r>
              <w:rPr>
                <w:rFonts w:cs="Arial Fett"/>
              </w:rPr>
              <w:t>gsmäßigkeit der Verlustverrechnungsbeschränkung für Aktienveräußerungsverluste nach § 20 Abs. 6 Satz 5 EStG (jetzt § 20 Abs. 6 Satz 4 EStG) geht. Sollten Sie von dieser Problematik betroffen sein, sprechen Sie uns an, denn gerichtliche Streitigkeiten gegen</w:t>
            </w:r>
            <w:r>
              <w:rPr>
                <w:rFonts w:cs="Arial Fett"/>
              </w:rPr>
              <w:t xml:space="preserve"> diese Regelung sind höchst wahrscheinlich.</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lastRenderedPageBreak/>
              <w:t>Kann es sein, dass z. B. aufgrund von aktuell nicht berücksichtigten oder negativen Beteiligungseinkünften die Besteuerung zum persönlichen Steuersatz gü</w:t>
            </w:r>
            <w:r>
              <w:rPr>
                <w:rFonts w:cs="Arial Fett"/>
              </w:rPr>
              <w:t>nstiger wird? In diesem Zusammenhang hat der BFH</w:t>
            </w:r>
            <w:r>
              <w:rPr>
                <w:rStyle w:val="Funotenverweis"/>
              </w:rPr>
              <w:footnoteReference w:id="24"/>
            </w:r>
            <w:r>
              <w:rPr>
                <w:rFonts w:cs="Arial Fett"/>
              </w:rPr>
              <w:t xml:space="preserve"> entschieden, dass die Festsetzung der Steuer in einem Änderungsbescheid nach Eintritt der Bestandskraft, die aufgrund der im Änderungsbescheid b</w:t>
            </w:r>
            <w:r>
              <w:rPr>
                <w:rFonts w:cs="Arial Fett"/>
              </w:rPr>
              <w:t>erücksichtigten Besteuerungsgrundlagen erstmals eine erfolgreiche Antragstellung gem. § 32d Abs. 6 EStG ermöglicht, ist ein rückwirkendes Ereignis i. S. d. § 175 Abs. 1 Satz 1 Nr. 2 AO, das einen korrekturbedürftigen Zustand auslöst. Sprechen Sie im Zweife</w:t>
            </w:r>
            <w:r>
              <w:rPr>
                <w:rFonts w:cs="Arial Fett"/>
              </w:rPr>
              <w:t>l Ihren Sachbearbeiter an.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Sofern Sie weitere Hintergrundinformationen rund um das Thema Kapitaleinkünfte und Abgeltungsteuer wünschen, kreuzen Sie bitte "ja" an. Ihr Sachbearbeiter wird Ihnen gerne weiterhelfen.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Sofern Darlehen an Personen gegeben werden, die die Zinsen für das Darlehen steuermindernd berücksichtigen können, scheidet nach derzeitiger Gesetzeslage die Besteuerung Ihrer Zinseinnahmen durch die Abgeltungsteuer aus. Es kommt zu einer Besteuerung mit I</w:t>
            </w:r>
            <w:r>
              <w:rPr>
                <w:rFonts w:cs="Arial Fett"/>
              </w:rPr>
              <w:t>hrem persönlichen Steuersatz.</w:t>
            </w:r>
          </w:p>
          <w:p w:rsidR="00000000" w:rsidRDefault="00E05160">
            <w:pPr>
              <w:pStyle w:val="txt"/>
              <w:widowControl/>
            </w:pPr>
            <w:r>
              <w:rPr>
                <w:rFonts w:cs="Arial Fett"/>
              </w:rPr>
              <w:t>Mittlerweile hat der BFH diese Gesetzeslage in mehreren Entscheidungen verworfen.</w:t>
            </w:r>
            <w:r>
              <w:rPr>
                <w:rStyle w:val="Funotenverweis"/>
              </w:rPr>
              <w:footnoteReference w:id="25"/>
            </w:r>
            <w:r>
              <w:rPr>
                <w:rFonts w:cs="Arial Fett"/>
              </w:rPr>
              <w:t xml:space="preserve"> Da die Besteuerung mittels Abgeltungsteuer wesentlich gü</w:t>
            </w:r>
            <w:r>
              <w:rPr>
                <w:rFonts w:cs="Arial Fett"/>
              </w:rPr>
              <w:t>nstiger sein kann, sollten Sie in entsprechenden Fällen die weitere Vorgehensweise mit Ihrem Sachbearbeiter besprechen. Im Einzelfall kann die Anwendung dieser Rechtsprechung zu erheblichen Steuervorteilen führen. So z. B. wenn Darlehen unter Ehegatten geg</w:t>
            </w:r>
            <w:r>
              <w:rPr>
                <w:rFonts w:cs="Arial Fett"/>
              </w:rPr>
              <w:t>eben werden. In diesem Fall kann es sein, dass der darlehensgebende Ehegatte die Zinsen mit 25% Abgeltungsteuer besteuern muss, während der darlehensnehmende Ehegatte diese zum höheren persönlichen Steuersatz steuermindernd berücksichtigt. Der so entstehen</w:t>
            </w:r>
            <w:r>
              <w:rPr>
                <w:rFonts w:cs="Arial Fett"/>
              </w:rPr>
              <w:t xml:space="preserve">den Gesamtbelastungsvorteil wirkt </w:t>
            </w:r>
            <w:r>
              <w:rPr>
                <w:rFonts w:cs="Arial Fett"/>
              </w:rPr>
              <w:lastRenderedPageBreak/>
              <w:t>wie eine Gelddruckmaschine.</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Liegen sämtliche </w:t>
            </w:r>
            <w:r>
              <w:rPr>
                <w:rStyle w:val="hvhf"/>
                <w:rFonts w:cs="Arial Fett"/>
              </w:rPr>
              <w:t>Steuerbescheinigungen und Erträgnisaufstellungen</w:t>
            </w:r>
            <w:r>
              <w:rPr>
                <w:rFonts w:cs="Arial Fett"/>
              </w:rPr>
              <w:t xml:space="preserve"> im Original vor?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Haben sie eine Bescheinigung der Kreditinstitute ü</w:t>
            </w:r>
            <w:r>
              <w:rPr>
                <w:rFonts w:cs="Arial Fett"/>
              </w:rPr>
              <w:t>ber die dort angefallen Gewinne und Verluste aus Veräußerungsgeschäften?</w:t>
            </w:r>
          </w:p>
          <w:p w:rsidR="00000000" w:rsidRDefault="00E05160">
            <w:pPr>
              <w:pStyle w:val="txt"/>
              <w:widowControl/>
            </w:pPr>
            <w:r>
              <w:rPr>
                <w:rStyle w:val="hvhf"/>
                <w:rFonts w:cs="Arial Fett"/>
              </w:rPr>
              <w:t>Hinweis</w:t>
            </w:r>
            <w:r>
              <w:rPr>
                <w:rFonts w:cs="Arial Fett"/>
              </w:rPr>
              <w:t>: Soweit Sie Depots bei mehreren Banken haben, sollte eine solche Bescheinigung bis zum 15.12. eines jedes Jahres von jeder Bank angefordert werden, damit die nicht mit Gewinne</w:t>
            </w:r>
            <w:r>
              <w:rPr>
                <w:rFonts w:cs="Arial Fett"/>
              </w:rPr>
              <w:t>n verrechenbaren Verluste bei der einen Bank schon in diesem Jahr mit Gewinnen bei einer anderen Bank verrechnet werden können. Ohne eine solche Bescheinigung können Verluste bei einer Bank nur mit Gewinnen bei derselben Bank ausgeglichen werden. Wurden ke</w:t>
            </w:r>
            <w:r>
              <w:rPr>
                <w:rFonts w:cs="Arial Fett"/>
              </w:rPr>
              <w:t>ine Gewinne erzielt, bleibt der Verlust für das laufende Jahr ungenutzt stehen. Bevor Sie jedoch die Bescheinigung anfordern, halten Sie unbedingt mit Ihrem Sachbearbeiter Rücksprache.</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Liegt ein Bescheid über den </w:t>
            </w:r>
            <w:r>
              <w:rPr>
                <w:rStyle w:val="hvhf"/>
                <w:rFonts w:cs="Arial Fett"/>
              </w:rPr>
              <w:t>Verlustvortrag</w:t>
            </w:r>
            <w:r>
              <w:rPr>
                <w:rFonts w:cs="Arial Fett"/>
              </w:rPr>
              <w:t xml:space="preserve"> für die E</w:t>
            </w:r>
            <w:r>
              <w:rPr>
                <w:rFonts w:cs="Arial Fett"/>
              </w:rPr>
              <w:t>inkünfte aus privaten Veräußerungsgeschäften vor? Wenn ja, bitte einreichen.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Sind verzinsliche </w:t>
            </w:r>
            <w:r>
              <w:rPr>
                <w:rStyle w:val="hvhf"/>
                <w:rFonts w:cs="Arial Fett"/>
              </w:rPr>
              <w:t xml:space="preserve">Privatdarlehen </w:t>
            </w:r>
            <w:r>
              <w:rPr>
                <w:rFonts w:cs="Arial Fett"/>
              </w:rPr>
              <w:t>hingegeben worden?</w:t>
            </w:r>
          </w:p>
          <w:p w:rsidR="00000000" w:rsidRDefault="00E05160">
            <w:pPr>
              <w:pStyle w:val="txt"/>
              <w:widowControl/>
            </w:pPr>
            <w:r>
              <w:rPr>
                <w:rFonts w:cs="Arial Fett"/>
              </w:rPr>
              <w:t>Aufgrund der Rspr. des BFH führt der endgültige Ausfall eines Privatdarlehens in der privaten Vermögenssphä</w:t>
            </w:r>
            <w:r>
              <w:rPr>
                <w:rFonts w:cs="Arial Fett"/>
              </w:rPr>
              <w:t>re zu einem steuerlich anzuerkennenden Verlust. Voraussetzung ist jedoch, dass endgültig feststeht, dass keine weiteren Rückzahlungen mehr erfolgen werden. Die bloße Eröffnung eines Insolvenzverfahrens über das Vermögen des Schuldners reicht hierfür in der</w:t>
            </w:r>
            <w:r>
              <w:rPr>
                <w:rFonts w:cs="Arial Fett"/>
              </w:rPr>
              <w:t xml:space="preserve"> Regel nicht aus. Die Einstellung des Verfahrens mangels Masse sollte hingegen zur Verlustberechnung berechtigen. Sprechen Sie in jeden Fall Ihren Sachbearbeiter an, wenn eine Darlehensforderung ausgefallen ist oder auszufallen droht. Dies gilt umso mehr, </w:t>
            </w:r>
            <w:r>
              <w:rPr>
                <w:rFonts w:cs="Arial Fett"/>
              </w:rPr>
              <w:t>als dass die positive Rechtsprechung des BFH mit Wirkung ab 2020 durch ein verschärfendes Gesetz ausgehebelt wird. Vgl. insoweit die obigen Hinweise zu § 20 Abs. 6 EStG.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Haben Sie </w:t>
            </w:r>
            <w:r>
              <w:rPr>
                <w:rStyle w:val="hvhf"/>
                <w:rFonts w:cs="Arial Fett"/>
              </w:rPr>
              <w:t>Gewinnausschüttungen</w:t>
            </w:r>
            <w:r>
              <w:rPr>
                <w:rFonts w:cs="Arial Fett"/>
              </w:rPr>
              <w:t xml:space="preserve"> aus einer </w:t>
            </w:r>
            <w:r>
              <w:rPr>
                <w:rStyle w:val="hvhf"/>
                <w:rFonts w:cs="Arial Fett"/>
              </w:rPr>
              <w:t>GmbH-Beteiligung</w:t>
            </w:r>
            <w:r>
              <w:rPr>
                <w:rFonts w:cs="Arial Fett"/>
              </w:rPr>
              <w:t xml:space="preserve"> erhalten?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Im Rahmen der Besteuerung der Abgeltungsteuer scheidet ein Werbungskostenabzug grundsätzlich aus.</w:t>
            </w:r>
          </w:p>
          <w:p w:rsidR="00000000" w:rsidRDefault="00E05160">
            <w:pPr>
              <w:pStyle w:val="txt"/>
              <w:widowControl/>
            </w:pPr>
            <w:r>
              <w:rPr>
                <w:rStyle w:val="hvhf"/>
                <w:rFonts w:cs="Arial Fett"/>
              </w:rPr>
              <w:t>Hinweis</w:t>
            </w:r>
            <w:r>
              <w:rPr>
                <w:rFonts w:cs="Arial Fett"/>
              </w:rPr>
              <w:t xml:space="preserve">: Hinsichtlich Ihrer </w:t>
            </w:r>
            <w:r>
              <w:rPr>
                <w:rStyle w:val="hvhf"/>
                <w:rFonts w:cs="Arial Fett"/>
              </w:rPr>
              <w:t xml:space="preserve">GmbH-Gewinnausschüttungen </w:t>
            </w:r>
            <w:r>
              <w:rPr>
                <w:rFonts w:cs="Arial Fett"/>
              </w:rPr>
              <w:t xml:space="preserve">besteht die Möglichkeit, </w:t>
            </w:r>
            <w:r>
              <w:rPr>
                <w:rFonts w:cs="Arial Fett"/>
              </w:rPr>
              <w:lastRenderedPageBreak/>
              <w:t>dass Sie zum Teileinkü</w:t>
            </w:r>
            <w:r>
              <w:rPr>
                <w:rFonts w:cs="Arial Fett"/>
              </w:rPr>
              <w:t xml:space="preserve">nfteverfahren optieren. In diesem Fall müssen sie 60% Ihrer Gewinnausschüttung versteuern, können aber auch 60% der Werbungskosten (z. B. </w:t>
            </w:r>
            <w:r>
              <w:rPr>
                <w:rStyle w:val="hvhf"/>
                <w:rFonts w:cs="Arial Fett"/>
              </w:rPr>
              <w:t>Schuldzinsen aufgrund der Anteilsfinanzierung</w:t>
            </w:r>
            <w:r>
              <w:rPr>
                <w:rFonts w:cs="Arial Fett"/>
              </w:rPr>
              <w:t>) ansetzten. Voraussetzung: Sie sind</w:t>
            </w:r>
          </w:p>
          <w:p w:rsidR="00000000" w:rsidRDefault="00E05160">
            <w:pPr>
              <w:pStyle w:val="L1a"/>
              <w:widowControl/>
              <w:numPr>
                <w:ilvl w:val="0"/>
                <w:numId w:val="56"/>
              </w:numPr>
              <w:tabs>
                <w:tab w:val="left" w:pos="514"/>
              </w:tabs>
            </w:pPr>
            <w:r>
              <w:rPr>
                <w:rFonts w:cs="Arial Fett"/>
              </w:rPr>
              <w:t>mindestens zu 25% beteiligt oder</w:t>
            </w:r>
          </w:p>
          <w:p w:rsidR="00000000" w:rsidRDefault="00E05160">
            <w:pPr>
              <w:pStyle w:val="L1a"/>
              <w:widowControl/>
              <w:numPr>
                <w:ilvl w:val="0"/>
                <w:numId w:val="56"/>
              </w:numPr>
              <w:tabs>
                <w:tab w:val="left" w:pos="514"/>
              </w:tabs>
            </w:pPr>
            <w:r>
              <w:rPr>
                <w:rFonts w:cs="Arial Fett"/>
              </w:rPr>
              <w:t>m</w:t>
            </w:r>
            <w:r>
              <w:rPr>
                <w:rFonts w:cs="Arial Fett"/>
              </w:rPr>
              <w:t>indestens zu 1% an der GmbH beteiligt und für diese beruflich tätig.</w:t>
            </w:r>
          </w:p>
          <w:p w:rsidR="00000000" w:rsidRDefault="00E05160">
            <w:pPr>
              <w:pStyle w:val="txt"/>
              <w:widowControl/>
            </w:pPr>
            <w:r>
              <w:rPr>
                <w:rFonts w:cs="Arial Fett"/>
              </w:rPr>
              <w:t>Sofern Sie diese Voraussetzungen erfüllen, kreuzen Sie bitte "ja". Ihr Sachbearbeiter wird dann prüfen, ob die oben beschriebene Option zum Teileinkünfteverfahren fü</w:t>
            </w:r>
            <w:r>
              <w:rPr>
                <w:rFonts w:cs="Arial Fett"/>
              </w:rPr>
              <w:t>r Sie lohnend ist und wird ggf. einen entsprechenden Antrag in Ihrer Steuererklärung stellen.</w:t>
            </w:r>
          </w:p>
          <w:p w:rsidR="00000000" w:rsidRDefault="00E05160">
            <w:pPr>
              <w:pStyle w:val="txt"/>
              <w:widowControl/>
            </w:pPr>
            <w:r>
              <w:rPr>
                <w:rStyle w:val="hvhf"/>
                <w:rFonts w:cs="Arial Fett"/>
              </w:rPr>
              <w:t>Hinweis</w:t>
            </w:r>
            <w:r>
              <w:rPr>
                <w:rFonts w:cs="Arial Fett"/>
              </w:rPr>
              <w:t>: Ausweislich des Gesetzes kann ein solcher Antrag jedoch nur im Rahmen der Abgabe der Steuererklärung gestellt werden. Lt. BFH</w:t>
            </w:r>
            <w:r>
              <w:rPr>
                <w:rStyle w:val="Funotenverweis"/>
              </w:rPr>
              <w:footnoteReference w:id="26"/>
            </w:r>
            <w:r>
              <w:rPr>
                <w:rFonts w:cs="Arial Fett"/>
              </w:rPr>
              <w:t xml:space="preserve"> gilt diese Antragsfrist auch, wenn Kapitalerträge in Gestalt verdeckter Gewinnausschüttungen aus einer unternehmerischen Beteiligung erst durch die Außenprüfung festgestellt werden und der Steuerpflichtige in der unzut</w:t>
            </w:r>
            <w:r>
              <w:rPr>
                <w:rFonts w:cs="Arial Fett"/>
              </w:rPr>
              <w:t>reffenden Annahme, keine Kapitalerträge aus der Beteiligung erzielt zu haben, in seiner Einkommensteuererklärung keinen Antrag gestellt hat. Der Entscheidung kommt daher enorme Bedeutung zu.</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Besteht eine </w:t>
            </w:r>
            <w:r>
              <w:rPr>
                <w:rStyle w:val="hvhf"/>
                <w:rFonts w:cs="Arial Fett"/>
              </w:rPr>
              <w:t>stille Beteiligung</w:t>
            </w: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Haben Sie Zinsen aus einer </w:t>
            </w:r>
            <w:r>
              <w:rPr>
                <w:rStyle w:val="hvhf"/>
                <w:rFonts w:cs="Arial Fett"/>
              </w:rPr>
              <w:t>Lebensversicherung</w:t>
            </w:r>
            <w:r>
              <w:rPr>
                <w:rFonts w:cs="Arial Fett"/>
              </w:rPr>
              <w:t xml:space="preserve"> erhalten?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Haben Sie sonstige Kapitalerträge, die bisher nicht der Abgeltungsteuer unterlegen haben?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Haben Sie noch Fragen zum Bereich der Einkünfte aus Kapitalvermögen?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Vermietung und Verpachtung</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6"/>
        <w:gridCol w:w="955"/>
        <w:gridCol w:w="955"/>
        <w:gridCol w:w="955"/>
        <w:gridCol w:w="955"/>
        <w:gridCol w:w="955"/>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Bitte beschreiben Sie in Stichworten kurz die Art des jeweils vermieteten Objekts (Wohnung, Mehrfamilienhaus, Gewerbeobjekt, Ferienwohnung usw.)</w:t>
            </w:r>
          </w:p>
        </w:tc>
        <w:tc>
          <w:tcPr>
            <w:tcW w:w="3819" w:type="dxa"/>
            <w:gridSpan w:val="4"/>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Aufstellung der erhaltenen </w:t>
            </w:r>
            <w:r>
              <w:rPr>
                <w:rStyle w:val="hvhf"/>
                <w:rFonts w:cs="Arial Fett"/>
              </w:rPr>
              <w:t>Mieten</w:t>
            </w:r>
            <w:r>
              <w:rPr>
                <w:rFonts w:cs="Arial Fett"/>
              </w:rPr>
              <w:t xml:space="preserve"> und Nebenkosten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Beträgt die Miete samt Nebenkosten mind. 66% der </w:t>
            </w:r>
            <w:r>
              <w:rPr>
                <w:rFonts w:cs="Arial Fett"/>
              </w:rPr>
              <w:lastRenderedPageBreak/>
              <w:t>ortsüblichen Miete?</w:t>
            </w:r>
          </w:p>
          <w:p w:rsidR="00000000" w:rsidRDefault="00E05160">
            <w:pPr>
              <w:pStyle w:val="txt"/>
              <w:widowControl/>
            </w:pPr>
            <w:r>
              <w:rPr>
                <w:rStyle w:val="hvhf"/>
                <w:rFonts w:cs="Arial Fett"/>
              </w:rPr>
              <w:t>Hinweis</w:t>
            </w:r>
            <w:r>
              <w:rPr>
                <w:rFonts w:cs="Arial Fett"/>
              </w:rPr>
              <w:t>: Seit 2021 ist die Grenze für die Aufteilung in eine entgeltliche oder unentgeltliche Wohnraumü</w:t>
            </w:r>
            <w:r>
              <w:rPr>
                <w:rFonts w:cs="Arial Fett"/>
              </w:rPr>
              <w:t>berlassung von 66% auf 50% der ortsüblichen Miete (Definition im Weiteren) herabgesetzt worden. Bei einer vereinbarten Miete von mindestens 66% der ortsüblichen Miete greift eine Vollentgeltlichkeitsgrenze, ab der die Einkünfteerzielungsabsicht mittels Ges</w:t>
            </w:r>
            <w:r>
              <w:rPr>
                <w:rFonts w:cs="Arial Fett"/>
              </w:rPr>
              <w:t>etzesfiktion geregelt ist. Bei Erreichung der 66%-Grenze sind daher keine weiteren Überprüfungen nötig.</w:t>
            </w:r>
          </w:p>
          <w:p w:rsidR="00000000" w:rsidRDefault="00E05160">
            <w:pPr>
              <w:pStyle w:val="txt"/>
              <w:widowControl/>
            </w:pPr>
            <w:r>
              <w:rPr>
                <w:rStyle w:val="hvhf"/>
                <w:rFonts w:cs="Arial Fett"/>
              </w:rPr>
              <w:t>Hinweis</w:t>
            </w:r>
            <w:r>
              <w:rPr>
                <w:rFonts w:cs="Arial Fett"/>
              </w:rPr>
              <w:t>: Der BFH</w:t>
            </w:r>
            <w:r>
              <w:rPr>
                <w:rStyle w:val="Funotenverweis"/>
              </w:rPr>
              <w:footnoteReference w:id="27"/>
            </w:r>
            <w:r>
              <w:rPr>
                <w:rFonts w:cs="Arial Fett"/>
              </w:rPr>
              <w:t xml:space="preserve"> hat klargestellt, dass unter der ortsüblichen Miete für Wohnungen verg</w:t>
            </w:r>
            <w:r>
              <w:rPr>
                <w:rFonts w:cs="Arial Fett"/>
              </w:rPr>
              <w:t xml:space="preserve">leichbarer Art, Lage und Ausstattung die ortsübliche Bruttomiete </w:t>
            </w:r>
            <w:r>
              <w:rPr>
                <w:rFonts w:cs="Arial Fett"/>
              </w:rPr>
              <w:t>–</w:t>
            </w:r>
            <w:r>
              <w:rPr>
                <w:rFonts w:cs="Arial Fett"/>
              </w:rPr>
              <w:t xml:space="preserve"> d.h. die Kaltmiete zuzüglich der nach der Betriebskostenverordnung umlagefähigen Kosten </w:t>
            </w:r>
            <w:r>
              <w:rPr>
                <w:rFonts w:cs="Arial Fett"/>
              </w:rPr>
              <w:t>–</w:t>
            </w:r>
            <w:r>
              <w:rPr>
                <w:rFonts w:cs="Arial Fett"/>
              </w:rPr>
              <w:t xml:space="preserve"> zu verstehen ist.</w:t>
            </w:r>
          </w:p>
          <w:p w:rsidR="00000000" w:rsidRDefault="00E05160">
            <w:pPr>
              <w:pStyle w:val="txt"/>
              <w:widowControl/>
            </w:pPr>
            <w:r>
              <w:rPr>
                <w:rStyle w:val="hvhf"/>
                <w:rFonts w:cs="Arial Fett"/>
              </w:rPr>
              <w:t>Hinweis</w:t>
            </w:r>
            <w:r>
              <w:rPr>
                <w:rFonts w:cs="Arial Fett"/>
              </w:rPr>
              <w:t>: Die ortsübliche Marktmiete ist grundsätzlich auf der Basis des Mietspieg</w:t>
            </w:r>
            <w:r>
              <w:rPr>
                <w:rFonts w:cs="Arial Fett"/>
              </w:rPr>
              <w:t>els zu bestimmen. Kann ein Mietspiegel nicht zugrunde gelegt werden oder ist er nicht vorhanden, kann die ortsübliche Marktmiete z. B. mit Hilfe eines mit Gründen versehenen Gutachtens eines öffentlich bestellten und vereidigten Sachverständigen i. S. d. §</w:t>
            </w:r>
            <w:r>
              <w:rPr>
                <w:rFonts w:cs="Arial Fett"/>
              </w:rPr>
              <w:t xml:space="preserve"> 558a Abs. 2 Nr. 3 BGB, durch die Auskunft aus einer Mietdatenbank i. S. d. § 558a Abs. 2 Nr. 2 BGB i. V. m. § 558e BGB oder unter Zugrundelegung der Entgelte für zumindest 3 vergleichbare Wohnungen i. S. d. § 558a Abs. 2 Nr. 4 BGB ermittelt werden; jeder </w:t>
            </w:r>
            <w:r>
              <w:rPr>
                <w:rFonts w:cs="Arial Fett"/>
              </w:rPr>
              <w:t>dieser Ermittlungswege ist grundsätzlich gleichrangig, so der BFH</w:t>
            </w:r>
            <w:r>
              <w:rPr>
                <w:rStyle w:val="Funotenverweis"/>
              </w:rPr>
              <w:footnoteReference w:id="28"/>
            </w: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Im betreffenden Jahr gezahlte oder erstattete </w:t>
            </w:r>
            <w:r>
              <w:rPr>
                <w:rStyle w:val="hvhf"/>
                <w:rFonts w:cs="Arial Fett"/>
              </w:rPr>
              <w:t>Nebenkostenabrechnungen des Vorjahrs</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Ist die Immobilie komplett vermietet oder werden Teile unentgeltlich überlassen bzw. eigengenutzt?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Haben Sie das/ein Objekt in diesem Jahr angeschafft?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Wenn ja, bitte den Fragebogen zu den </w:t>
            </w:r>
            <w:r>
              <w:rPr>
                <w:rFonts w:cs="Arial Fett"/>
              </w:rPr>
              <w:t>Anschaffungskosten von Immobilien anfordern.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Haben sie das Objekt in den letzten 3 Jahren angeschafft und müssen die anschaffungsnahen Herstellungskosten geprüft werden?</w:t>
            </w:r>
          </w:p>
          <w:p w:rsidR="00000000" w:rsidRDefault="00E05160">
            <w:pPr>
              <w:pStyle w:val="txt"/>
              <w:widowControl/>
            </w:pPr>
            <w:r>
              <w:rPr>
                <w:rStyle w:val="hvhf"/>
                <w:rFonts w:cs="Arial Fett"/>
              </w:rPr>
              <w:t>Hinweis</w:t>
            </w:r>
            <w:r>
              <w:rPr>
                <w:rFonts w:cs="Arial Fett"/>
              </w:rPr>
              <w:t>: Aufwendungen für Instandsetzung und Modernisierungen gehö</w:t>
            </w:r>
            <w:r>
              <w:rPr>
                <w:rFonts w:cs="Arial Fett"/>
              </w:rPr>
              <w:t xml:space="preserve">ren auch zu den Herstellungskosten des Gebäudes, wenn sie innerhalb von </w:t>
            </w:r>
            <w:r>
              <w:rPr>
                <w:rFonts w:cs="Arial Fett"/>
              </w:rPr>
              <w:lastRenderedPageBreak/>
              <w:t>drei Jahren nach Anschaffung des Gebäudes durchgeführt werden und die Aufwendungen ohne die Umsatzsteuer 15 Prozent der Anschaffungskosten des Gebäudes übersteigen. Die Folge: Die Aufw</w:t>
            </w:r>
            <w:r>
              <w:rPr>
                <w:rFonts w:cs="Arial Fett"/>
              </w:rPr>
              <w:t>endungen können nicht mehr als sofort abzugsfähige Werbungskosten berücksichtigt werden, sondern sind über die Abschreibung zu berücksichtigen.</w:t>
            </w:r>
          </w:p>
          <w:p w:rsidR="00000000" w:rsidRDefault="00E05160">
            <w:pPr>
              <w:pStyle w:val="txt"/>
              <w:widowControl/>
            </w:pPr>
            <w:r>
              <w:rPr>
                <w:rFonts w:cs="Arial Fett"/>
              </w:rPr>
              <w:t>Durch die Rechtsprechung des BFH</w:t>
            </w:r>
            <w:r>
              <w:rPr>
                <w:rStyle w:val="Funotenverweis"/>
              </w:rPr>
              <w:footnoteReference w:id="29"/>
            </w:r>
            <w:r>
              <w:rPr>
                <w:rFonts w:cs="Arial Fett"/>
              </w:rPr>
              <w:t xml:space="preserve"> wurde die The</w:t>
            </w:r>
            <w:r>
              <w:rPr>
                <w:rFonts w:cs="Arial Fett"/>
              </w:rPr>
              <w:t>matik des anschaffungsnahen Aufwands leider verschärft. Danach sind auch Schönheitsreparaturen sowie Kosten für die Herstellung der Betriebsbereitschaft bei Prüfung der 15%-Grenze einzubeziehen.</w:t>
            </w:r>
          </w:p>
          <w:p w:rsidR="00000000" w:rsidRDefault="00E05160">
            <w:pPr>
              <w:pStyle w:val="txt"/>
              <w:widowControl/>
            </w:pPr>
            <w:r>
              <w:rPr>
                <w:rStyle w:val="hvhf"/>
                <w:rFonts w:cs="Arial Fett"/>
              </w:rPr>
              <w:t>Hinweis</w:t>
            </w:r>
            <w:r>
              <w:rPr>
                <w:rFonts w:cs="Arial Fett"/>
              </w:rPr>
              <w:t>: Die Dreijahresfrist beginnt nicht bereits mit dem Ta</w:t>
            </w:r>
            <w:r>
              <w:rPr>
                <w:rFonts w:cs="Arial Fett"/>
              </w:rPr>
              <w:t>g des Abschlusses des Kaufvertrags (oder der Auflassungserklärung), sondern erst mit dem Zeitpunkt der Erlangung des wirtschaftlichen Eigentums zu laufen; dies ist der Übergang von Besitz, Nutzen und Lasten.</w:t>
            </w:r>
          </w:p>
          <w:p w:rsidR="00000000" w:rsidRDefault="00E05160">
            <w:pPr>
              <w:pStyle w:val="txt"/>
              <w:widowControl/>
            </w:pPr>
            <w:r>
              <w:rPr>
                <w:rFonts w:cs="Arial Fett"/>
              </w:rPr>
              <w:t>Das FG Rheinland-Pfalz</w:t>
            </w:r>
            <w:r>
              <w:rPr>
                <w:rStyle w:val="Funotenverweis"/>
              </w:rPr>
              <w:footnoteReference w:id="30"/>
            </w:r>
            <w:r>
              <w:rPr>
                <w:rFonts w:cs="Arial Fett"/>
              </w:rPr>
              <w:t xml:space="preserve"> hat entschieden, dass Aufwendungen, die vor dem Erwerb des wirtschaftlichen Eigentums angefallen sind, nicht in den Drei-Jahreszeitraum für die Ermittlung der anschaffungsnahen Aufwendungen einzubeziehen sind.</w:t>
            </w:r>
          </w:p>
          <w:p w:rsidR="00000000" w:rsidRDefault="00E05160">
            <w:pPr>
              <w:pStyle w:val="txt"/>
              <w:widowControl/>
            </w:pPr>
            <w:r>
              <w:rPr>
                <w:rFonts w:cs="Arial Fett"/>
              </w:rPr>
              <w:t>Im Urteilsfal</w:t>
            </w:r>
            <w:r>
              <w:rPr>
                <w:rFonts w:cs="Arial Fett"/>
              </w:rPr>
              <w:t>l hatte ein Immobilienerwerber nach Notarvertrag, jedoch vor Übergang von Nutzen und Lasten bereits Erhaltungsmaßnahmen durchgeführt. Das Gericht kam zu dem Schluss, dass diese Aufwendungen nicht in die 15 %-Grenze eingerechnet werden müssen, da sie vor de</w:t>
            </w:r>
            <w:r>
              <w:rPr>
                <w:rFonts w:cs="Arial Fett"/>
              </w:rPr>
              <w:t>r Anschaffung getätigt wurden.</w:t>
            </w:r>
          </w:p>
          <w:p w:rsidR="00000000" w:rsidRDefault="00E05160">
            <w:pPr>
              <w:pStyle w:val="txt"/>
              <w:widowControl/>
            </w:pPr>
            <w:r>
              <w:rPr>
                <w:rFonts w:cs="Arial Fett"/>
              </w:rPr>
              <w:t>Da das erstinstanzliche Gericht die Revision nicht zugelassen hatte, hat die Finanzverwaltung gegen die Entscheidung die Nichtzulassungsbeschwerde beim BFH erhoben. Dieser hat die Nichtzulassungsbeschwerde jedoch mit folgende</w:t>
            </w:r>
            <w:r>
              <w:rPr>
                <w:rFonts w:cs="Arial Fett"/>
              </w:rPr>
              <w:t>m Leitsatz abgelehnt</w:t>
            </w:r>
            <w:r>
              <w:rPr>
                <w:rStyle w:val="Funotenverweis"/>
              </w:rPr>
              <w:footnoteReference w:id="31"/>
            </w:r>
            <w:r>
              <w:rPr>
                <w:rFonts w:cs="Arial Fett"/>
              </w:rPr>
              <w:t>: Die Regelung des § 6 Abs. 1 Nr. 1a EStG (anschaffungsnahe Herstellungskosten) gilt nach dem Gesetzeswortlaut nur für solche Aufwendungen, die innerhalb von 3 Jahren "nach" der Anschaffung v</w:t>
            </w:r>
            <w:r>
              <w:rPr>
                <w:rFonts w:cs="Arial Fett"/>
              </w:rPr>
              <w:t>om Steuerpflichtigen getragen werden. Vor der Anschaffung des Grundstücks vom Steuerpflichtigen getätigte Aufwendungen sind nach den allgemeinen handelsrechtlichen Abgrenzungskriterien als Anschaffungs-, Herstellungs- oder Erhaltungsaufwand steuerlich zu b</w:t>
            </w:r>
            <w:r>
              <w:rPr>
                <w:rFonts w:cs="Arial Fett"/>
              </w:rPr>
              <w:t>erücksichtigen.</w:t>
            </w:r>
          </w:p>
          <w:p w:rsidR="00000000" w:rsidRDefault="00E05160">
            <w:pPr>
              <w:pStyle w:val="txt"/>
              <w:widowControl/>
            </w:pPr>
            <w:r>
              <w:rPr>
                <w:rFonts w:cs="Arial Fett"/>
              </w:rPr>
              <w:lastRenderedPageBreak/>
              <w:t xml:space="preserve">Dementsprechend ist es aktuell möglich, dass Erhaltungsmaßnahmen, die nach Notarvertrag und Auflassung, jedoch vor Übergang von Nutzen und Lasten durchgeführt werden, sofort als Werbungskosten abgezogen werden können. Eine Berücksichtigung </w:t>
            </w:r>
            <w:r>
              <w:rPr>
                <w:rFonts w:cs="Arial Fett"/>
              </w:rPr>
              <w:t>bei der 15 %-Grenze findet dabei nicht statt. Aus unserer Sicht bietet sich eine solche Vorgehensweise in Ihrem Fall an, sofern die errechnetet 15%-Grenze planmäßig nicht ausreicht.</w:t>
            </w:r>
          </w:p>
          <w:p w:rsidR="00000000" w:rsidRDefault="00E05160">
            <w:pPr>
              <w:pStyle w:val="txt"/>
              <w:widowControl/>
            </w:pPr>
            <w:r>
              <w:rPr>
                <w:rFonts w:cs="Arial Fett"/>
              </w:rPr>
              <w:t>Sofern dies angegangen werden soll:</w:t>
            </w:r>
          </w:p>
          <w:p w:rsidR="00000000" w:rsidRDefault="00E05160">
            <w:pPr>
              <w:pStyle w:val="txt"/>
              <w:widowControl/>
            </w:pPr>
            <w:r>
              <w:rPr>
                <w:rFonts w:cs="Arial Fett"/>
              </w:rPr>
              <w:t>Bei der Vorverlagerung von Aufwendungen sollte zwingend darauf geachtet werden, dass die jeweilige Abnahme der Baumaßnahme vor Übergang von Nutzen und Lasten erfolgt. Im Zweifel wären auch Teilrechnungen oder dergleichen zu Dokumentationszwecken dafür geei</w:t>
            </w:r>
            <w:r>
              <w:rPr>
                <w:rFonts w:cs="Arial Fett"/>
              </w:rPr>
              <w:t>gnet, gegenüber dem Finanzamt nachzuweisen, welche Aufwendungen auf Maßnahmen vor bzw. nach Erwerb des Objekts entfallen. Die Zeitpunkte der Rechnungsstellung und Zahlung sind insoweit unmaßgeblich.</w:t>
            </w:r>
          </w:p>
          <w:p w:rsidR="00000000" w:rsidRDefault="00E05160">
            <w:pPr>
              <w:pStyle w:val="txt"/>
              <w:widowControl/>
            </w:pPr>
            <w:r>
              <w:rPr>
                <w:rFonts w:cs="Arial Fett"/>
              </w:rPr>
              <w:t>Bei Fragen zu dieser Thematik sprechen Sie Ihren Sachbear</w:t>
            </w:r>
            <w:r>
              <w:rPr>
                <w:rFonts w:cs="Arial Fett"/>
              </w:rPr>
              <w:t>beiter an.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lastRenderedPageBreak/>
              <w:t>Werbungskosten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7"/>
              </w:numPr>
              <w:tabs>
                <w:tab w:val="left" w:pos="514"/>
              </w:tabs>
            </w:pPr>
            <w:r>
              <w:rPr>
                <w:rFonts w:cs="Arial Fett"/>
              </w:rPr>
              <w:t>Aufstellung über die Fahrten zum Objekt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L1a"/>
              <w:widowControl/>
              <w:numPr>
                <w:ilvl w:val="0"/>
                <w:numId w:val="58"/>
              </w:numPr>
              <w:tabs>
                <w:tab w:val="left" w:pos="514"/>
              </w:tabs>
            </w:pPr>
            <w:r>
              <w:rPr>
                <w:rStyle w:val="hvhf"/>
                <w:rFonts w:cs="Arial Fett"/>
              </w:rPr>
              <w:t xml:space="preserve">Belege </w:t>
            </w:r>
            <w:r>
              <w:rPr>
                <w:rFonts w:cs="Arial Fett"/>
              </w:rPr>
              <w:t>über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59"/>
              </w:numPr>
              <w:tabs>
                <w:tab w:val="left" w:pos="1542"/>
              </w:tabs>
            </w:pPr>
            <w:r>
              <w:rPr>
                <w:rFonts w:cs="Arial Fett"/>
              </w:rPr>
              <w:t>Schuldzinsen und Bankgebühren</w:t>
            </w:r>
          </w:p>
          <w:p w:rsidR="00000000" w:rsidRDefault="00E05160">
            <w:pPr>
              <w:pStyle w:val="txt"/>
              <w:widowControl/>
            </w:pPr>
            <w:r>
              <w:rPr>
                <w:rStyle w:val="hvhf"/>
                <w:rFonts w:cs="Arial Fett"/>
              </w:rPr>
              <w:t>Hinweis</w:t>
            </w:r>
            <w:r>
              <w:rPr>
                <w:rFonts w:cs="Arial Fett"/>
              </w:rPr>
              <w:t>: Sofern die Immobilie bereits veräußert ist, der Verkaufserlö</w:t>
            </w:r>
            <w:r>
              <w:rPr>
                <w:rFonts w:cs="Arial Fett"/>
              </w:rPr>
              <w:t>s jedoch nicht ausgereicht hat, um das Anschaffungsdarlehen zu tilgen, können Schuldzinsen auch noch nach dem Verkauf des Objekts als nachträgliche Werbungskosten angesetzt werden. Sprechen Sie ggf. Ihren Sachbearbeiter an.</w:t>
            </w:r>
          </w:p>
          <w:p w:rsidR="00000000" w:rsidRDefault="00E05160">
            <w:pPr>
              <w:pStyle w:val="txt"/>
              <w:widowControl/>
            </w:pPr>
            <w:r>
              <w:rPr>
                <w:rStyle w:val="hvhf"/>
                <w:rFonts w:cs="Arial Fett"/>
              </w:rPr>
              <w:t>Hinweis</w:t>
            </w:r>
            <w:r>
              <w:rPr>
                <w:rFonts w:cs="Arial Fett"/>
              </w:rPr>
              <w:t>: Eine etwaige Vorfä</w:t>
            </w:r>
            <w:r>
              <w:rPr>
                <w:rFonts w:cs="Arial Fett"/>
              </w:rPr>
              <w:t>lligkeitsentschädigung kann jedoch in aller Regel nicht bei den Einkünften aus Vermietung und Verpachtung angesetzt werden. Sollte eine solche entstehen, sprechend Sie bitte Ihren Sachbearbeiter an. Ggfs. kann der Sachverhalt noch gestaltet werden.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r>
              <w:rPr>
                <w:rFonts w:cs="Arial Fett"/>
              </w:rPr>
              <w:t xml:space="preserve">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0"/>
              </w:numPr>
              <w:tabs>
                <w:tab w:val="left" w:pos="1542"/>
              </w:tabs>
            </w:pPr>
            <w:r>
              <w:rPr>
                <w:rFonts w:cs="Arial Fett"/>
              </w:rPr>
              <w:t>Renten und dauernde Lasten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1"/>
              </w:numPr>
              <w:tabs>
                <w:tab w:val="left" w:pos="1542"/>
              </w:tabs>
            </w:pPr>
            <w:r>
              <w:rPr>
                <w:rFonts w:cs="Arial Fett"/>
              </w:rPr>
              <w:t>Reparaturaufwendungen</w:t>
            </w:r>
          </w:p>
          <w:p w:rsidR="00000000" w:rsidRDefault="00E05160">
            <w:pPr>
              <w:pStyle w:val="L1ctxt"/>
              <w:widowControl/>
            </w:pPr>
            <w:r>
              <w:rPr>
                <w:rFonts w:cs="Arial Fett"/>
              </w:rPr>
              <w:t>(Erhaltungsaufwand)</w:t>
            </w:r>
          </w:p>
          <w:p w:rsidR="00000000" w:rsidRDefault="00E05160">
            <w:pPr>
              <w:pStyle w:val="txt"/>
              <w:widowControl/>
            </w:pPr>
            <w:r>
              <w:rPr>
                <w:rStyle w:val="hvhf"/>
                <w:rFonts w:cs="Arial Fett"/>
              </w:rPr>
              <w:t>Hinweis</w:t>
            </w:r>
            <w:r>
              <w:rPr>
                <w:rFonts w:cs="Arial Fett"/>
              </w:rPr>
              <w:t>: Erhaltungsaufwendungen kö</w:t>
            </w:r>
            <w:r>
              <w:rPr>
                <w:rFonts w:cs="Arial Fett"/>
              </w:rPr>
              <w:t xml:space="preserve">nnen unter bestimmten Voraussetzungen entweder im Jahr der Zahlung als Werbungskosten abgesetzt werden oder auf 2 bis 5 Jahre verteilt werden. Eine Verteilung kann insbesondere dann sinnvoller sein, wenn </w:t>
            </w:r>
            <w:r>
              <w:rPr>
                <w:rFonts w:cs="Arial Fett"/>
              </w:rPr>
              <w:lastRenderedPageBreak/>
              <w:t>es zu schwankenden Steuersätzen aufgrund einer schwa</w:t>
            </w:r>
            <w:r>
              <w:rPr>
                <w:rFonts w:cs="Arial Fett"/>
              </w:rPr>
              <w:t>nkenden Höhe der Einkünfte kommt. Wenn Sie insoweit eine Schwankung erwarten bzw. sich nicht sicher sind, sprechen Sie Ihren Sachbearbeiter an.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lastRenderedPageBreak/>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2"/>
              </w:numPr>
              <w:tabs>
                <w:tab w:val="left" w:pos="1542"/>
              </w:tabs>
            </w:pPr>
            <w:r>
              <w:rPr>
                <w:rFonts w:cs="Arial Fett"/>
              </w:rPr>
              <w:t>Grundsteuer, Straßenreinigung, Müllabfuhr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3"/>
              </w:numPr>
              <w:tabs>
                <w:tab w:val="left" w:pos="1542"/>
              </w:tabs>
            </w:pPr>
            <w:r>
              <w:rPr>
                <w:rFonts w:cs="Arial Fett"/>
              </w:rPr>
              <w:t>Wasser- und Stromkosten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4"/>
              </w:numPr>
              <w:tabs>
                <w:tab w:val="left" w:pos="1542"/>
              </w:tabs>
            </w:pPr>
            <w:r>
              <w:rPr>
                <w:rFonts w:cs="Arial Fett"/>
              </w:rPr>
              <w:t>Heizungskosten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5"/>
              </w:numPr>
              <w:tabs>
                <w:tab w:val="left" w:pos="1542"/>
              </w:tabs>
            </w:pPr>
            <w:r>
              <w:rPr>
                <w:rFonts w:cs="Arial Fett"/>
              </w:rPr>
              <w:t>Schornsteinfeger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6"/>
              </w:numPr>
              <w:tabs>
                <w:tab w:val="left" w:pos="1542"/>
              </w:tabs>
            </w:pPr>
            <w:r>
              <w:rPr>
                <w:rFonts w:cs="Arial Fett"/>
              </w:rPr>
              <w:t>Hausversicherung</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7"/>
              </w:numPr>
              <w:tabs>
                <w:tab w:val="left" w:pos="1542"/>
              </w:tabs>
            </w:pPr>
            <w:r>
              <w:rPr>
                <w:rFonts w:cs="Arial Fett"/>
              </w:rPr>
              <w:t>Verwalter</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8"/>
              </w:numPr>
              <w:tabs>
                <w:tab w:val="left" w:pos="1542"/>
              </w:tabs>
            </w:pPr>
            <w:r>
              <w:rPr>
                <w:rFonts w:cs="Arial Fett"/>
              </w:rPr>
              <w:t>Steuerberatungskosten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69"/>
              </w:numPr>
              <w:tabs>
                <w:tab w:val="left" w:pos="1542"/>
              </w:tabs>
            </w:pPr>
            <w:r>
              <w:rPr>
                <w:rFonts w:cs="Arial Fett"/>
              </w:rPr>
              <w:t xml:space="preserve">Weitere Werbungskosten </w:t>
            </w:r>
            <w:r>
              <w:rPr>
                <w:rFonts w:cs="Arial Fett"/>
              </w:rPr>
              <w:t>–</w:t>
            </w:r>
            <w:r>
              <w:rPr>
                <w:rFonts w:cs="Arial Fett"/>
              </w:rPr>
              <w:t xml:space="preserve"> sofern Sie nicht sicher sind, was noch steuerlich geltend gemacht werden kann, kreuzen Sie "ja" an. Ihr Sachbearbeiter wird Sie gerne beraten.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rsidP="00E05160">
            <w:pPr>
              <w:pStyle w:val="L1c"/>
              <w:widowControl/>
              <w:numPr>
                <w:ilvl w:val="2"/>
                <w:numId w:val="70"/>
              </w:numPr>
              <w:tabs>
                <w:tab w:val="left" w:pos="1542"/>
              </w:tabs>
            </w:pPr>
            <w:r>
              <w:rPr>
                <w:rFonts w:cs="Arial Fett"/>
              </w:rPr>
              <w:t>Haben Sie darü</w:t>
            </w:r>
            <w:r>
              <w:rPr>
                <w:rFonts w:cs="Arial Fett"/>
              </w:rPr>
              <w:t>ber hinaus noch Beteiligungen an anderen Vermietungs- und Verpachtungsobjekten (z. B. geschlossenen Immobilienfonds)?</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t>Sonstige Einkünfte</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Bescheide über </w:t>
            </w:r>
            <w:r>
              <w:rPr>
                <w:rStyle w:val="hvhf"/>
                <w:rFonts w:cs="Arial Fett"/>
              </w:rPr>
              <w:t>Renten</w:t>
            </w:r>
            <w:r>
              <w:rPr>
                <w:rFonts w:cs="Arial Fett"/>
              </w:rPr>
              <w:t>einkünfte (insb. die Ä</w:t>
            </w:r>
            <w:r>
              <w:rPr>
                <w:rFonts w:cs="Arial Fett"/>
              </w:rPr>
              <w:t>nderungsmitteilungen)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Verträge über </w:t>
            </w:r>
            <w:r>
              <w:rPr>
                <w:rStyle w:val="hvhf"/>
                <w:rFonts w:cs="Arial Fett"/>
              </w:rPr>
              <w:t>Renten aus Grundstücksveräußerungen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Erhaltene </w:t>
            </w:r>
            <w:r>
              <w:rPr>
                <w:rStyle w:val="hvhf"/>
                <w:rFonts w:cs="Arial Fett"/>
              </w:rPr>
              <w:t>Unterhaltsleistungen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Haben Sie Einnahmen aus gelegentlichen Vermittlungen oder Vermietung von beweglichen Sachen?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Sofern Sie Gewinne oder Verluste aus Devisengeschäften haben, reichen Sie bitte eine entsprechende Aufstellung ein.</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 xml:space="preserve">Wurde eine </w:t>
            </w:r>
            <w:r>
              <w:rPr>
                <w:rStyle w:val="hvhf"/>
                <w:rFonts w:cs="Arial Fett"/>
              </w:rPr>
              <w:t>Immobilie verkauft</w:t>
            </w: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Handeln Sie mit Devisen oder haben ansonsten private Veräuß</w:t>
            </w:r>
            <w:r>
              <w:rPr>
                <w:rFonts w:cs="Arial Fett"/>
              </w:rPr>
              <w:t>erungsgeschäfte realisiert?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bl>
    <w:p w:rsidR="00000000" w:rsidRDefault="00E05160">
      <w:pPr>
        <w:spacing w:after="118" w:line="20" w:lineRule="exact"/>
      </w:pPr>
    </w:p>
    <w:p w:rsidR="00000000" w:rsidRDefault="00E05160">
      <w:pPr>
        <w:pStyle w:val="U0"/>
        <w:widowControl/>
      </w:pPr>
      <w:r>
        <w:rPr>
          <w:rFonts w:cs="Arial Fett"/>
        </w:rPr>
        <w:lastRenderedPageBreak/>
        <w:t>Persönliches Gespräch</w:t>
      </w:r>
    </w:p>
    <w:p w:rsidR="00000000" w:rsidRDefault="00E05160">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4777"/>
        <w:gridCol w:w="955"/>
        <w:gridCol w:w="955"/>
        <w:gridCol w:w="955"/>
        <w:gridCol w:w="955"/>
        <w:gridCol w:w="954"/>
      </w:tblGrid>
      <w:tr w:rsidR="00000000">
        <w:trPr>
          <w:tblHeader/>
        </w:trPr>
        <w:tc>
          <w:tcPr>
            <w:tcW w:w="4777" w:type="dxa"/>
            <w:tcBorders>
              <w:top w:val="single" w:sz="4" w:space="0" w:color="auto"/>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pP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ja</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nein</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erledigt</w:t>
            </w:r>
          </w:p>
        </w:tc>
        <w:tc>
          <w:tcPr>
            <w:tcW w:w="955" w:type="dxa"/>
            <w:tcBorders>
              <w:top w:val="single" w:sz="4" w:space="0" w:color="auto"/>
              <w:left w:val="nil"/>
              <w:bottom w:val="single" w:sz="4" w:space="0" w:color="auto"/>
              <w:right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entfällt</w:t>
            </w:r>
          </w:p>
        </w:tc>
        <w:tc>
          <w:tcPr>
            <w:tcW w:w="954" w:type="dxa"/>
            <w:tcBorders>
              <w:top w:val="single" w:sz="4" w:space="0" w:color="auto"/>
              <w:left w:val="nil"/>
              <w:bottom w:val="single" w:sz="4" w:space="0" w:color="auto"/>
            </w:tcBorders>
            <w:shd w:val="clear" w:color="auto" w:fill="E0D8E0"/>
            <w:tcMar>
              <w:top w:w="54" w:type="dxa"/>
              <w:left w:w="54" w:type="dxa"/>
              <w:bottom w:w="0" w:type="dxa"/>
              <w:right w:w="54" w:type="dxa"/>
            </w:tcMar>
          </w:tcPr>
          <w:p w:rsidR="00000000" w:rsidRDefault="00E05160">
            <w:pPr>
              <w:pStyle w:val="txt"/>
              <w:widowControl/>
              <w:jc w:val="center"/>
            </w:pPr>
            <w:r>
              <w:rPr>
                <w:rFonts w:cs="Arial Fett"/>
              </w:rPr>
              <w:t>wie Vorjahr</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Style w:val="hvhf"/>
                <w:rFonts w:cs="Arial Fett"/>
              </w:rPr>
              <w:t>Wünschen Sie zu bestimmten Punkten noch ein persönliches Gespräch, bevor mit der Erstellung der Erklärung begonnen wird?</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 ]</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5" w:type="dxa"/>
            <w:tcBorders>
              <w:top w:val="nil"/>
              <w:left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c>
          <w:tcPr>
            <w:tcW w:w="954" w:type="dxa"/>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r>
              <w:rPr>
                <w:rFonts w:cs="Arial Fett"/>
              </w:rPr>
              <w:t>––</w:t>
            </w:r>
          </w:p>
        </w:tc>
      </w:tr>
      <w:tr w:rsidR="00000000">
        <w:tc>
          <w:tcPr>
            <w:tcW w:w="4777" w:type="dxa"/>
            <w:tcBorders>
              <w:top w:val="nil"/>
              <w:bottom w:val="single" w:sz="4" w:space="0" w:color="auto"/>
              <w:right w:val="single" w:sz="4" w:space="0" w:color="auto"/>
            </w:tcBorders>
            <w:tcMar>
              <w:top w:w="54" w:type="dxa"/>
              <w:left w:w="54" w:type="dxa"/>
              <w:bottom w:w="0" w:type="dxa"/>
              <w:right w:w="54" w:type="dxa"/>
            </w:tcMar>
          </w:tcPr>
          <w:p w:rsidR="00000000" w:rsidRDefault="00E05160">
            <w:pPr>
              <w:pStyle w:val="txt"/>
              <w:widowControl/>
            </w:pPr>
            <w:r>
              <w:rPr>
                <w:rFonts w:cs="Arial Fett"/>
              </w:rPr>
              <w:t>Fragen, Besprechungspunkte oder Anmerkungen:</w:t>
            </w:r>
          </w:p>
          <w:p w:rsidR="00000000" w:rsidRDefault="00E05160">
            <w:pPr>
              <w:pStyle w:val="txt"/>
              <w:widowControl/>
            </w:pPr>
            <w:r>
              <w:rPr>
                <w:rFonts w:cs="Arial Fett"/>
              </w:rPr>
              <w:t>......................................................................</w:t>
            </w:r>
          </w:p>
          <w:p w:rsidR="00000000" w:rsidRDefault="00E05160">
            <w:pPr>
              <w:pStyle w:val="txt"/>
              <w:widowControl/>
            </w:pPr>
            <w:r>
              <w:rPr>
                <w:rFonts w:cs="Arial Fett"/>
              </w:rPr>
              <w:t>......................................................................</w:t>
            </w:r>
          </w:p>
          <w:p w:rsidR="00000000" w:rsidRDefault="00E05160">
            <w:pPr>
              <w:pStyle w:val="txt"/>
              <w:widowControl/>
            </w:pPr>
            <w:r>
              <w:rPr>
                <w:rFonts w:cs="Arial Fett"/>
              </w:rPr>
              <w:t>.....................................................................</w:t>
            </w:r>
            <w:r>
              <w:rPr>
                <w:rFonts w:cs="Arial Fett"/>
              </w:rPr>
              <w:t>.</w:t>
            </w:r>
          </w:p>
          <w:p w:rsidR="00000000" w:rsidRDefault="00E05160">
            <w:pPr>
              <w:pStyle w:val="txt"/>
              <w:widowControl/>
            </w:pPr>
            <w:r>
              <w:rPr>
                <w:rFonts w:cs="Arial Fett"/>
              </w:rPr>
              <w:t>......................................................................</w:t>
            </w:r>
          </w:p>
          <w:p w:rsidR="00000000" w:rsidRDefault="00E05160">
            <w:pPr>
              <w:pStyle w:val="txt"/>
              <w:widowControl/>
            </w:pPr>
            <w:r>
              <w:rPr>
                <w:rFonts w:cs="Arial Fett"/>
              </w:rPr>
              <w:t>......................................................................</w:t>
            </w:r>
          </w:p>
          <w:p w:rsidR="00000000" w:rsidRDefault="00E05160">
            <w:pPr>
              <w:pStyle w:val="txt"/>
              <w:widowControl/>
            </w:pPr>
            <w:r>
              <w:rPr>
                <w:rFonts w:cs="Arial Fett"/>
              </w:rPr>
              <w:t>......................................................................</w:t>
            </w:r>
          </w:p>
        </w:tc>
        <w:tc>
          <w:tcPr>
            <w:tcW w:w="4774" w:type="dxa"/>
            <w:gridSpan w:val="5"/>
            <w:tcBorders>
              <w:top w:val="nil"/>
              <w:left w:val="nil"/>
              <w:bottom w:val="single" w:sz="4" w:space="0" w:color="auto"/>
            </w:tcBorders>
            <w:tcMar>
              <w:top w:w="54" w:type="dxa"/>
              <w:left w:w="54" w:type="dxa"/>
              <w:bottom w:w="0" w:type="dxa"/>
              <w:right w:w="54" w:type="dxa"/>
            </w:tcMar>
          </w:tcPr>
          <w:p w:rsidR="00000000" w:rsidRDefault="00E05160">
            <w:pPr>
              <w:pStyle w:val="txt"/>
              <w:widowControl/>
              <w:jc w:val="center"/>
            </w:pPr>
          </w:p>
        </w:tc>
      </w:tr>
    </w:tbl>
    <w:p w:rsidR="00000000" w:rsidRDefault="00E05160">
      <w:pPr>
        <w:spacing w:after="118" w:line="20" w:lineRule="exact"/>
      </w:pPr>
    </w:p>
    <w:sectPr w:rsidR="00000000">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5160">
      <w:r>
        <w:separator/>
      </w:r>
    </w:p>
  </w:endnote>
  <w:endnote w:type="continuationSeparator" w:id="0">
    <w:p w:rsidR="00000000" w:rsidRDefault="00E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5160">
    <w:pPr>
      <w:pStyle w:val="newfooter"/>
      <w:tabs>
        <w:tab w:val="left" w:pos="0"/>
        <w:tab w:val="right" w:pos="9638"/>
      </w:tabs>
    </w:pPr>
    <w:r>
      <w:rPr>
        <w:rFonts w:cs="Arial Fett"/>
      </w:rPr>
      <w:t>Haufe-Index 14967497</w:t>
    </w:r>
    <w:r>
      <w:rPr>
        <w:rFonts w:cs="Arial Fett"/>
      </w:rPr>
      <w:tab/>
    </w:r>
    <w:r>
      <w:rPr>
        <w:rFonts w:cs="Arial Fett"/>
      </w:rPr>
      <w:fldChar w:fldCharType="begin"/>
    </w:r>
    <w:r>
      <w:rPr>
        <w:rFonts w:cs="Arial Fett"/>
      </w:rPr>
      <w:instrText xml:space="preserve"> PAGE </w:instrText>
    </w:r>
    <w:r>
      <w:rPr>
        <w:rFonts w:cs="Arial Fett"/>
      </w:rPr>
      <w:fldChar w:fldCharType="separate"/>
    </w:r>
    <w:r>
      <w:rPr>
        <w:rFonts w:cs="Arial Fett"/>
        <w:noProof/>
      </w:rPr>
      <w:t>3</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Pr>
        <w:rFonts w:cs="Arial Fett"/>
        <w:noProof/>
      </w:rPr>
      <w:t>21</w:t>
    </w:r>
    <w:r>
      <w:rPr>
        <w:rFonts w:cs="Arial Fet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5160">
    <w:pPr>
      <w:pStyle w:val="newfooter"/>
      <w:tabs>
        <w:tab w:val="left" w:pos="0"/>
        <w:tab w:val="right" w:pos="9638"/>
      </w:tabs>
    </w:pPr>
    <w:r>
      <w:rPr>
        <w:rFonts w:cs="Arial Fett"/>
      </w:rPr>
      <w:t>Haufe-Index 14967497</w:t>
    </w:r>
    <w:r>
      <w:rPr>
        <w:rFonts w:cs="Arial Fett"/>
      </w:rPr>
      <w:tab/>
    </w:r>
    <w:r>
      <w:rPr>
        <w:rFonts w:cs="Arial Fett"/>
      </w:rPr>
      <w:fldChar w:fldCharType="begin"/>
    </w:r>
    <w:r>
      <w:rPr>
        <w:rFonts w:cs="Arial Fett"/>
      </w:rPr>
      <w:instrText xml:space="preserve"> PAGE </w:instrText>
    </w:r>
    <w:r>
      <w:rPr>
        <w:rFonts w:cs="Arial Fett"/>
      </w:rPr>
      <w:fldChar w:fldCharType="separate"/>
    </w:r>
    <w:r>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Pr>
        <w:rFonts w:cs="Arial Fett"/>
        <w:noProof/>
      </w:rPr>
      <w:t>21</w:t>
    </w:r>
    <w:r>
      <w:rPr>
        <w:rFonts w:cs="Arial Fet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5160">
      <w:r>
        <w:separator/>
      </w:r>
    </w:p>
  </w:footnote>
  <w:footnote w:type="continuationSeparator" w:id="0">
    <w:p w:rsidR="00000000" w:rsidRDefault="00E05160">
      <w:r>
        <w:continuationSeparator/>
      </w:r>
    </w:p>
  </w:footnote>
  <w:footnote w:id="1">
    <w:p w:rsidR="00000000" w:rsidRDefault="00E05160">
      <w:pPr>
        <w:pStyle w:val="Funotentext"/>
        <w:widowControl/>
      </w:pPr>
      <w:r>
        <w:rPr>
          <w:rStyle w:val="Funotenzeichen"/>
        </w:rPr>
        <w:footnoteRef/>
      </w:r>
      <w:r>
        <w:rPr>
          <w:rFonts w:cs="Arial Fett"/>
        </w:rPr>
        <w:tab/>
        <w:t>Vgl. § 10 Abs. 1 Nr. 3 Satz 2 EStG</w:t>
      </w:r>
    </w:p>
  </w:footnote>
  <w:footnote w:id="2">
    <w:p w:rsidR="00000000" w:rsidRDefault="00E05160">
      <w:pPr>
        <w:pStyle w:val="Funotentext"/>
        <w:widowControl/>
      </w:pPr>
      <w:r>
        <w:rPr>
          <w:rStyle w:val="Funotenzeichen"/>
        </w:rPr>
        <w:footnoteRef/>
      </w:r>
      <w:r>
        <w:rPr>
          <w:rFonts w:cs="Arial Fett"/>
        </w:rPr>
        <w:tab/>
        <w:t>BFH, Urteil v. 1.6.2016, X R 17/15, BStBl 2016 II S. 989.</w:t>
      </w:r>
    </w:p>
  </w:footnote>
  <w:footnote w:id="3">
    <w:p w:rsidR="00000000" w:rsidRDefault="00E05160">
      <w:pPr>
        <w:pStyle w:val="Funotentext"/>
        <w:widowControl/>
      </w:pPr>
      <w:r>
        <w:rPr>
          <w:rStyle w:val="Funotenzeichen"/>
        </w:rPr>
        <w:footnoteRef/>
      </w:r>
      <w:r>
        <w:rPr>
          <w:rFonts w:cs="Arial Fett"/>
        </w:rPr>
        <w:tab/>
        <w:t>BFH, Urteil v. 6.5.2020, X R 16/18.</w:t>
      </w:r>
    </w:p>
  </w:footnote>
  <w:footnote w:id="4">
    <w:p w:rsidR="00000000" w:rsidRDefault="00E05160">
      <w:pPr>
        <w:pStyle w:val="Funotentext"/>
        <w:widowControl/>
      </w:pPr>
      <w:r>
        <w:rPr>
          <w:rStyle w:val="Funotenzeichen"/>
        </w:rPr>
        <w:footnoteRef/>
      </w:r>
      <w:r>
        <w:rPr>
          <w:rFonts w:cs="Arial Fett"/>
        </w:rPr>
        <w:tab/>
        <w:t>BFH</w:t>
      </w:r>
      <w:r>
        <w:rPr>
          <w:rFonts w:cs="Arial Fett"/>
        </w:rPr>
        <w:t>, Urteil v. 13.5.2020, VI R 4/18 , BStBl 2021 II S. 669.</w:t>
      </w:r>
    </w:p>
  </w:footnote>
  <w:footnote w:id="5">
    <w:p w:rsidR="00000000" w:rsidRDefault="00E05160">
      <w:pPr>
        <w:pStyle w:val="Funotentext"/>
        <w:widowControl/>
      </w:pPr>
      <w:r>
        <w:rPr>
          <w:rStyle w:val="Funotenzeichen"/>
        </w:rPr>
        <w:footnoteRef/>
      </w:r>
      <w:r>
        <w:rPr>
          <w:rFonts w:cs="Arial Fett"/>
        </w:rPr>
        <w:tab/>
        <w:t>BMF, Schreiben v. 9.11.2016, BStBl 2016 I S. 1213.</w:t>
      </w:r>
    </w:p>
  </w:footnote>
  <w:footnote w:id="6">
    <w:p w:rsidR="00000000" w:rsidRDefault="00E05160">
      <w:pPr>
        <w:pStyle w:val="Funotentext"/>
        <w:widowControl/>
      </w:pPr>
      <w:r>
        <w:rPr>
          <w:rStyle w:val="Funotenzeichen"/>
        </w:rPr>
        <w:footnoteRef/>
      </w:r>
      <w:r>
        <w:rPr>
          <w:rFonts w:cs="Arial Fett"/>
        </w:rPr>
        <w:tab/>
        <w:t>BFH, Urteil v. 20.3.2014, VI R 55/12, BStBl 2014 II S. 880.</w:t>
      </w:r>
    </w:p>
  </w:footnote>
  <w:footnote w:id="7">
    <w:p w:rsidR="00000000" w:rsidRDefault="00E05160">
      <w:pPr>
        <w:pStyle w:val="Funotentext"/>
        <w:widowControl/>
      </w:pPr>
      <w:r>
        <w:rPr>
          <w:rStyle w:val="Funotenzeichen"/>
        </w:rPr>
        <w:footnoteRef/>
      </w:r>
      <w:r>
        <w:rPr>
          <w:rFonts w:cs="Arial Fett"/>
        </w:rPr>
        <w:tab/>
        <w:t>BF</w:t>
      </w:r>
      <w:r>
        <w:rPr>
          <w:rFonts w:cs="Arial Fett"/>
        </w:rPr>
        <w:t>H, Urteil v. 28.4.2020, VI R 50/17.</w:t>
      </w:r>
    </w:p>
  </w:footnote>
  <w:footnote w:id="8">
    <w:p w:rsidR="00000000" w:rsidRDefault="00E05160">
      <w:pPr>
        <w:pStyle w:val="Funotentext"/>
        <w:widowControl/>
      </w:pPr>
      <w:r>
        <w:rPr>
          <w:rStyle w:val="Funotenzeichen"/>
        </w:rPr>
        <w:footnoteRef/>
      </w:r>
      <w:r>
        <w:rPr>
          <w:rFonts w:cs="Arial Fett"/>
        </w:rPr>
        <w:tab/>
      </w:r>
      <w:r>
        <w:rPr>
          <w:rFonts w:cs="Arial Fett"/>
        </w:rPr>
        <w:t>FG Berlin-Brandenburg, Urteil v. 13.9.2017, 7 K 7128/17.</w:t>
      </w:r>
    </w:p>
  </w:footnote>
  <w:footnote w:id="9">
    <w:p w:rsidR="00000000" w:rsidRDefault="00E05160">
      <w:pPr>
        <w:pStyle w:val="Funotentext"/>
        <w:widowControl/>
      </w:pPr>
      <w:r>
        <w:rPr>
          <w:rStyle w:val="Funotenzeichen"/>
        </w:rPr>
        <w:footnoteRef/>
      </w:r>
      <w:r>
        <w:rPr>
          <w:rFonts w:cs="Arial Fett"/>
        </w:rPr>
        <w:tab/>
        <w:t>FG Hamburg, Urteil v. 20.1.2009, 3 K 245/08.</w:t>
      </w:r>
    </w:p>
  </w:footnote>
  <w:footnote w:id="10">
    <w:p w:rsidR="00000000" w:rsidRDefault="00E05160">
      <w:pPr>
        <w:pStyle w:val="Funotentext"/>
        <w:widowControl/>
      </w:pPr>
      <w:r>
        <w:rPr>
          <w:rStyle w:val="Funotenzeichen"/>
        </w:rPr>
        <w:footnoteRef/>
      </w:r>
      <w:r>
        <w:rPr>
          <w:rFonts w:cs="Arial Fett"/>
        </w:rPr>
        <w:tab/>
        <w:t>Sächsisches FG, Urteil v. 14.10.2020, 2 K 323/20.</w:t>
      </w:r>
    </w:p>
  </w:footnote>
  <w:footnote w:id="11">
    <w:p w:rsidR="00000000" w:rsidRDefault="00E05160">
      <w:pPr>
        <w:pStyle w:val="Funotentext"/>
        <w:widowControl/>
      </w:pPr>
      <w:r>
        <w:rPr>
          <w:rStyle w:val="Funotenzeichen"/>
        </w:rPr>
        <w:footnoteRef/>
      </w:r>
      <w:r>
        <w:rPr>
          <w:rFonts w:cs="Arial Fett"/>
        </w:rPr>
        <w:tab/>
        <w:t>Revision eingelegt Az. beim BFH: VI R 7/21.</w:t>
      </w:r>
    </w:p>
  </w:footnote>
  <w:footnote w:id="12">
    <w:p w:rsidR="00000000" w:rsidRDefault="00E05160">
      <w:pPr>
        <w:pStyle w:val="Funotentext"/>
        <w:widowControl/>
      </w:pPr>
      <w:r>
        <w:rPr>
          <w:rStyle w:val="Funotenzeichen"/>
        </w:rPr>
        <w:footnoteRef/>
      </w:r>
      <w:r>
        <w:rPr>
          <w:rFonts w:cs="Arial Fett"/>
        </w:rPr>
        <w:tab/>
        <w:t>BFH, Urteil v. 13.10.2015, IX R 46/14, BStBl 2016 II S. 214.</w:t>
      </w:r>
    </w:p>
  </w:footnote>
  <w:footnote w:id="13">
    <w:p w:rsidR="00000000" w:rsidRDefault="00E05160">
      <w:pPr>
        <w:pStyle w:val="Funotentext"/>
        <w:widowControl/>
      </w:pPr>
      <w:r>
        <w:rPr>
          <w:rStyle w:val="Funotenzeichen"/>
        </w:rPr>
        <w:footnoteRef/>
      </w:r>
      <w:r>
        <w:rPr>
          <w:rFonts w:cs="Arial Fett"/>
        </w:rPr>
        <w:tab/>
        <w:t>BFH, Beschluss v. 27.7.2015, GrS 1/14, BStBl 2016 II S. 265.</w:t>
      </w:r>
    </w:p>
  </w:footnote>
  <w:footnote w:id="14">
    <w:p w:rsidR="00000000" w:rsidRDefault="00E05160">
      <w:pPr>
        <w:pStyle w:val="Funotentext"/>
        <w:widowControl/>
      </w:pPr>
      <w:r>
        <w:rPr>
          <w:rStyle w:val="Funotenzeichen"/>
        </w:rPr>
        <w:footnoteRef/>
      </w:r>
      <w:r>
        <w:rPr>
          <w:rFonts w:cs="Arial Fett"/>
        </w:rPr>
        <w:tab/>
        <w:t>BMF, Schreiben v. 9.7.2021, IV C 6 - S 2145/19/10006 :013.</w:t>
      </w:r>
    </w:p>
  </w:footnote>
  <w:footnote w:id="15">
    <w:p w:rsidR="00000000" w:rsidRDefault="00E05160">
      <w:pPr>
        <w:pStyle w:val="Funotentext"/>
        <w:widowControl/>
      </w:pPr>
      <w:r>
        <w:rPr>
          <w:rStyle w:val="Funotenzeichen"/>
        </w:rPr>
        <w:footnoteRef/>
      </w:r>
      <w:r>
        <w:rPr>
          <w:rFonts w:cs="Arial Fett"/>
        </w:rPr>
        <w:tab/>
        <w:t>Anschluss an BFH, Urteil v.. 7.11.2006, VI R 95/04, BStBl 2007 II, S. 269</w:t>
      </w:r>
    </w:p>
  </w:footnote>
  <w:footnote w:id="16">
    <w:p w:rsidR="00000000" w:rsidRDefault="00E05160">
      <w:pPr>
        <w:pStyle w:val="Funotentext"/>
        <w:widowControl/>
      </w:pPr>
      <w:r>
        <w:rPr>
          <w:rStyle w:val="Funotenzeichen"/>
        </w:rPr>
        <w:footnoteRef/>
      </w:r>
      <w:r>
        <w:rPr>
          <w:rFonts w:cs="Arial Fett"/>
        </w:rPr>
        <w:tab/>
        <w:t>BFH, Urteil v. 30.11.2016, VI R 2/15, BStBl 2017 II S. 1014.</w:t>
      </w:r>
    </w:p>
  </w:footnote>
  <w:footnote w:id="17">
    <w:p w:rsidR="00000000" w:rsidRDefault="00E05160">
      <w:pPr>
        <w:pStyle w:val="Funotentext"/>
        <w:widowControl/>
      </w:pPr>
      <w:r>
        <w:rPr>
          <w:rStyle w:val="Funotenzeichen"/>
        </w:rPr>
        <w:footnoteRef/>
      </w:r>
      <w:r>
        <w:rPr>
          <w:rFonts w:cs="Arial Fett"/>
        </w:rPr>
        <w:tab/>
        <w:t>Niedersächsisches FG, Urteil v. 9.10.2020, 14 K 21/19.</w:t>
      </w:r>
    </w:p>
  </w:footnote>
  <w:footnote w:id="18">
    <w:p w:rsidR="00000000" w:rsidRDefault="00E05160">
      <w:pPr>
        <w:pStyle w:val="Funotentext"/>
        <w:widowControl/>
      </w:pPr>
      <w:r>
        <w:rPr>
          <w:rStyle w:val="Funotenzeichen"/>
        </w:rPr>
        <w:footnoteRef/>
      </w:r>
      <w:r>
        <w:rPr>
          <w:rFonts w:cs="Arial Fett"/>
        </w:rPr>
        <w:tab/>
        <w:t>Revision eingelegt Az. beim BFH: VIII R 29/20.</w:t>
      </w:r>
    </w:p>
  </w:footnote>
  <w:footnote w:id="19">
    <w:p w:rsidR="00000000" w:rsidRDefault="00E05160">
      <w:pPr>
        <w:pStyle w:val="Funotentext"/>
        <w:widowControl/>
      </w:pPr>
      <w:r>
        <w:rPr>
          <w:rStyle w:val="Funotenzeichen"/>
        </w:rPr>
        <w:footnoteRef/>
      </w:r>
      <w:r>
        <w:rPr>
          <w:rFonts w:cs="Arial Fett"/>
        </w:rPr>
        <w:tab/>
        <w:t>FG Rheinland-Pfalz, Urteil v</w:t>
      </w:r>
      <w:r>
        <w:rPr>
          <w:rFonts w:cs="Arial Fett"/>
        </w:rPr>
        <w:t>. 12.12.2018, 2 K 1952/16.</w:t>
      </w:r>
    </w:p>
  </w:footnote>
  <w:footnote w:id="20">
    <w:p w:rsidR="00000000" w:rsidRDefault="00E05160">
      <w:pPr>
        <w:pStyle w:val="Funotentext"/>
        <w:widowControl/>
      </w:pPr>
      <w:r>
        <w:rPr>
          <w:rStyle w:val="Funotenzeichen"/>
        </w:rPr>
        <w:footnoteRef/>
      </w:r>
      <w:r>
        <w:rPr>
          <w:rFonts w:cs="Arial Fett"/>
        </w:rPr>
        <w:tab/>
        <w:t>Rev. anhängig, Az. beim BFH VIII R 5/19.</w:t>
      </w:r>
    </w:p>
  </w:footnote>
  <w:footnote w:id="21">
    <w:p w:rsidR="00000000" w:rsidRDefault="00E05160">
      <w:pPr>
        <w:pStyle w:val="Funotentext"/>
        <w:widowControl/>
      </w:pPr>
      <w:r>
        <w:rPr>
          <w:rStyle w:val="Funotenzeichen"/>
        </w:rPr>
        <w:footnoteRef/>
      </w:r>
      <w:r>
        <w:rPr>
          <w:rFonts w:cs="Arial Fett"/>
        </w:rPr>
        <w:tab/>
        <w:t>Vgl. § 20 Abs. 6 EStG.</w:t>
      </w:r>
    </w:p>
  </w:footnote>
  <w:footnote w:id="22">
    <w:p w:rsidR="00000000" w:rsidRDefault="00E05160">
      <w:pPr>
        <w:pStyle w:val="Funotentext"/>
        <w:widowControl/>
      </w:pPr>
      <w:r>
        <w:rPr>
          <w:rStyle w:val="Funotenzeichen"/>
        </w:rPr>
        <w:footnoteRef/>
      </w:r>
      <w:r>
        <w:rPr>
          <w:rFonts w:cs="Arial Fett"/>
        </w:rPr>
        <w:tab/>
        <w:t>Vgl. § 20 Abs. 6 Satz 6 EStG 2020</w:t>
      </w:r>
    </w:p>
  </w:footnote>
  <w:footnote w:id="23">
    <w:p w:rsidR="00000000" w:rsidRDefault="00E05160">
      <w:pPr>
        <w:pStyle w:val="Funotentext"/>
        <w:widowControl/>
      </w:pPr>
      <w:r>
        <w:rPr>
          <w:rStyle w:val="Funotenzeichen"/>
        </w:rPr>
        <w:footnoteRef/>
      </w:r>
      <w:r>
        <w:rPr>
          <w:rFonts w:cs="Arial Fett"/>
        </w:rPr>
        <w:tab/>
        <w:t>BVerfG, Normenkontrollverfahren 2 BvL 3/21.</w:t>
      </w:r>
    </w:p>
  </w:footnote>
  <w:footnote w:id="24">
    <w:p w:rsidR="00000000" w:rsidRDefault="00E05160">
      <w:pPr>
        <w:pStyle w:val="Funotentext"/>
        <w:widowControl/>
      </w:pPr>
      <w:r>
        <w:rPr>
          <w:rStyle w:val="Funotenzeichen"/>
        </w:rPr>
        <w:footnoteRef/>
      </w:r>
      <w:r>
        <w:rPr>
          <w:rFonts w:cs="Arial Fett"/>
        </w:rPr>
        <w:tab/>
        <w:t>BFH, Urteil v. 14.7.2020, VIII R 6/17, BStBl 2021 II S. 92.</w:t>
      </w:r>
    </w:p>
  </w:footnote>
  <w:footnote w:id="25">
    <w:p w:rsidR="00000000" w:rsidRDefault="00E05160">
      <w:pPr>
        <w:pStyle w:val="Funotentext"/>
        <w:widowControl/>
      </w:pPr>
      <w:r>
        <w:rPr>
          <w:rStyle w:val="Funotenzeichen"/>
        </w:rPr>
        <w:footnoteRef/>
      </w:r>
      <w:r>
        <w:rPr>
          <w:rFonts w:cs="Arial Fett"/>
        </w:rPr>
        <w:tab/>
        <w:t>Z. B. BFH, Urteil v. 29.4.2014, VIII R 9/13, BStBl 2014 II S. 986.</w:t>
      </w:r>
    </w:p>
  </w:footnote>
  <w:footnote w:id="26">
    <w:p w:rsidR="00000000" w:rsidRDefault="00E05160">
      <w:pPr>
        <w:pStyle w:val="Funotentext"/>
        <w:widowControl/>
      </w:pPr>
      <w:r>
        <w:rPr>
          <w:rStyle w:val="Funotenzeichen"/>
        </w:rPr>
        <w:footnoteRef/>
      </w:r>
      <w:r>
        <w:rPr>
          <w:rFonts w:cs="Arial Fett"/>
        </w:rPr>
        <w:tab/>
        <w:t>BFH, Urteil v. 14.5.2019,</w:t>
      </w:r>
      <w:r>
        <w:rPr>
          <w:rFonts w:cs="Arial Fett"/>
        </w:rPr>
        <w:t xml:space="preserve"> VIII R 20/16, BStBl 2019 II S. 586.</w:t>
      </w:r>
    </w:p>
  </w:footnote>
  <w:footnote w:id="27">
    <w:p w:rsidR="00000000" w:rsidRDefault="00E05160">
      <w:pPr>
        <w:pStyle w:val="Funotentext"/>
        <w:widowControl/>
      </w:pPr>
      <w:r>
        <w:rPr>
          <w:rStyle w:val="Funotenzeichen"/>
        </w:rPr>
        <w:footnoteRef/>
      </w:r>
      <w:r>
        <w:rPr>
          <w:rFonts w:cs="Arial Fett"/>
        </w:rPr>
        <w:tab/>
        <w:t>BFH, Urteil v. 10.5.2016, IX R 44/15, . BStBl 2016 II S. 835.</w:t>
      </w:r>
    </w:p>
  </w:footnote>
  <w:footnote w:id="28">
    <w:p w:rsidR="00000000" w:rsidRDefault="00E05160">
      <w:pPr>
        <w:pStyle w:val="Funotentext"/>
        <w:widowControl/>
      </w:pPr>
      <w:r>
        <w:rPr>
          <w:rStyle w:val="Funotenzeichen"/>
        </w:rPr>
        <w:footnoteRef/>
      </w:r>
      <w:r>
        <w:rPr>
          <w:rFonts w:cs="Arial Fett"/>
        </w:rPr>
        <w:tab/>
        <w:t>BFH, Urteil v. 22.2.2021, IX R 7/20, BStBl 2021 II S. 479.</w:t>
      </w:r>
    </w:p>
  </w:footnote>
  <w:footnote w:id="29">
    <w:p w:rsidR="00000000" w:rsidRDefault="00E05160">
      <w:pPr>
        <w:pStyle w:val="Funotentext"/>
        <w:widowControl/>
      </w:pPr>
      <w:r>
        <w:rPr>
          <w:rStyle w:val="Funotenzeichen"/>
        </w:rPr>
        <w:footnoteRef/>
      </w:r>
      <w:r>
        <w:rPr>
          <w:rFonts w:cs="Arial Fett"/>
        </w:rPr>
        <w:tab/>
        <w:t>BFH, Urteile v. 14.6.2016, IX R 15/15, IX R 25/14, IX R 22/15.</w:t>
      </w:r>
    </w:p>
  </w:footnote>
  <w:footnote w:id="30">
    <w:p w:rsidR="00000000" w:rsidRDefault="00E05160">
      <w:pPr>
        <w:pStyle w:val="Funotentext"/>
        <w:widowControl/>
      </w:pPr>
      <w:r>
        <w:rPr>
          <w:rStyle w:val="Funotenzeichen"/>
        </w:rPr>
        <w:footnoteRef/>
      </w:r>
      <w:r>
        <w:rPr>
          <w:rFonts w:cs="Arial Fett"/>
        </w:rPr>
        <w:tab/>
        <w:t>FG Rheinland-Pfalz, Urt</w:t>
      </w:r>
      <w:r>
        <w:rPr>
          <w:rFonts w:cs="Arial Fett"/>
        </w:rPr>
        <w:t>eil v. 13.11.2019, 2 L 2304/17.</w:t>
      </w:r>
    </w:p>
  </w:footnote>
  <w:footnote w:id="31">
    <w:p w:rsidR="00000000" w:rsidRDefault="00E05160">
      <w:pPr>
        <w:pStyle w:val="Funotentext"/>
        <w:widowControl/>
      </w:pPr>
      <w:r>
        <w:rPr>
          <w:rStyle w:val="Funotenzeichen"/>
        </w:rPr>
        <w:footnoteRef/>
      </w:r>
      <w:r>
        <w:rPr>
          <w:rFonts w:cs="Arial Fett"/>
        </w:rPr>
        <w:tab/>
        <w:t>BFH, Beschluss v. 28.4.2020, IX B 121/19.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5160">
    <w:pPr>
      <w:pStyle w:val="newheader"/>
    </w:pPr>
    <w:r>
      <w:rPr>
        <w:rFonts w:cs="Arial Fett"/>
      </w:rPr>
      <w:t>Einkommensteuererklärung, Erforderliche Belege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0E568"/>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 w:numId="3">
    <w:abstractNumId w:val="0"/>
    <w:lvlOverride w:ilvl="0">
      <w:startOverride w:val="1"/>
      <w:lvl w:ilvl="0">
        <w:start w:val="1"/>
        <w:numFmt w:val="decimal"/>
        <w:lvlText w:val="•"/>
        <w:lvlJc w:val="left"/>
        <w:pPr>
          <w:tabs>
            <w:tab w:val="num" w:pos="514"/>
          </w:tabs>
          <w:ind w:left="514" w:hanging="514"/>
        </w:pPr>
      </w:lvl>
    </w:lvlOverride>
  </w:num>
  <w:num w:numId="4">
    <w:abstractNumId w:val="0"/>
    <w:lvlOverride w:ilvl="0">
      <w:startOverride w:val="1"/>
      <w:lvl w:ilvl="0">
        <w:start w:val="1"/>
        <w:numFmt w:val="decimal"/>
        <w:lvlText w:val="•"/>
        <w:lvlJc w:val="left"/>
        <w:pPr>
          <w:tabs>
            <w:tab w:val="num" w:pos="514"/>
          </w:tabs>
          <w:ind w:left="514" w:hanging="514"/>
        </w:pPr>
      </w:lvl>
    </w:lvlOverride>
  </w:num>
  <w:num w:numId="5">
    <w:abstractNumId w:val="0"/>
    <w:lvlOverride w:ilvl="0">
      <w:startOverride w:val="1"/>
      <w:lvl w:ilvl="0">
        <w:start w:val="1"/>
        <w:numFmt w:val="decimal"/>
        <w:lvlText w:val="•"/>
        <w:lvlJc w:val="left"/>
        <w:pPr>
          <w:tabs>
            <w:tab w:val="num" w:pos="514"/>
          </w:tabs>
          <w:ind w:left="514" w:hanging="514"/>
        </w:pPr>
      </w:lvl>
    </w:lvlOverride>
  </w:num>
  <w:num w:numId="6">
    <w:abstractNumId w:val="0"/>
    <w:lvlOverride w:ilvl="0">
      <w:startOverride w:val="1"/>
      <w:lvl w:ilvl="0">
        <w:start w:val="1"/>
        <w:numFmt w:val="decimal"/>
        <w:lvlText w:val="•"/>
        <w:lvlJc w:val="left"/>
        <w:pPr>
          <w:tabs>
            <w:tab w:val="num" w:pos="514"/>
          </w:tabs>
          <w:ind w:left="514" w:hanging="514"/>
        </w:pPr>
      </w:lvl>
    </w:lvlOverride>
  </w:num>
  <w:num w:numId="7">
    <w:abstractNumId w:val="0"/>
    <w:lvlOverride w:ilvl="0">
      <w:startOverride w:val="1"/>
      <w:lvl w:ilvl="0">
        <w:start w:val="1"/>
        <w:numFmt w:val="decimal"/>
        <w:lvlText w:val="•"/>
        <w:lvlJc w:val="left"/>
        <w:pPr>
          <w:tabs>
            <w:tab w:val="num" w:pos="514"/>
          </w:tabs>
          <w:ind w:left="514" w:hanging="514"/>
        </w:pPr>
      </w:lvl>
    </w:lvlOverride>
  </w:num>
  <w:num w:numId="8">
    <w:abstractNumId w:val="0"/>
    <w:lvlOverride w:ilvl="0">
      <w:startOverride w:val="1"/>
      <w:lvl w:ilvl="0">
        <w:start w:val="1"/>
        <w:numFmt w:val="decimal"/>
        <w:lvlText w:val="•"/>
        <w:lvlJc w:val="left"/>
        <w:pPr>
          <w:tabs>
            <w:tab w:val="num" w:pos="514"/>
          </w:tabs>
          <w:ind w:left="514" w:hanging="514"/>
        </w:pPr>
      </w:lvl>
    </w:lvlOverride>
  </w:num>
  <w:num w:numId="9">
    <w:abstractNumId w:val="0"/>
    <w:lvlOverride w:ilvl="0">
      <w:startOverride w:val="1"/>
      <w:lvl w:ilvl="0">
        <w:start w:val="1"/>
        <w:numFmt w:val="decimal"/>
        <w:lvlText w:val="•"/>
        <w:lvlJc w:val="left"/>
        <w:pPr>
          <w:tabs>
            <w:tab w:val="num" w:pos="514"/>
          </w:tabs>
          <w:ind w:left="514" w:hanging="514"/>
        </w:pPr>
      </w:lvl>
    </w:lvlOverride>
  </w:num>
  <w:num w:numId="10">
    <w:abstractNumId w:val="0"/>
    <w:lvlOverride w:ilvl="0">
      <w:startOverride w:val="1"/>
      <w:lvl w:ilvl="0">
        <w:start w:val="1"/>
        <w:numFmt w:val="decimal"/>
        <w:lvlText w:val="•"/>
        <w:lvlJc w:val="left"/>
        <w:pPr>
          <w:tabs>
            <w:tab w:val="num" w:pos="514"/>
          </w:tabs>
          <w:ind w:left="514" w:hanging="514"/>
        </w:pPr>
      </w:lvl>
    </w:lvlOverride>
  </w:num>
  <w:num w:numId="11">
    <w:abstractNumId w:val="0"/>
    <w:lvlOverride w:ilvl="0">
      <w:startOverride w:val="1"/>
      <w:lvl w:ilvl="0">
        <w:start w:val="1"/>
        <w:numFmt w:val="decimal"/>
        <w:lvlText w:val="•"/>
        <w:lvlJc w:val="left"/>
        <w:pPr>
          <w:tabs>
            <w:tab w:val="num" w:pos="514"/>
          </w:tabs>
          <w:ind w:left="514" w:hanging="514"/>
        </w:pPr>
      </w:lvl>
    </w:lvlOverride>
  </w:num>
  <w:num w:numId="12">
    <w:abstractNumId w:val="0"/>
    <w:lvlOverride w:ilvl="0">
      <w:startOverride w:val="1"/>
      <w:lvl w:ilvl="0">
        <w:start w:val="1"/>
        <w:numFmt w:val="decimal"/>
        <w:lvlText w:val="•"/>
        <w:lvlJc w:val="left"/>
        <w:pPr>
          <w:tabs>
            <w:tab w:val="num" w:pos="514"/>
          </w:tabs>
          <w:ind w:left="514" w:hanging="514"/>
        </w:pPr>
      </w:lvl>
    </w:lvlOverride>
  </w:num>
  <w:num w:numId="13">
    <w:abstractNumId w:val="0"/>
    <w:lvlOverride w:ilvl="0">
      <w:startOverride w:val="1"/>
      <w:lvl w:ilvl="0">
        <w:start w:val="1"/>
        <w:numFmt w:val="decimal"/>
        <w:lvlText w:val="•"/>
        <w:lvlJc w:val="left"/>
        <w:pPr>
          <w:tabs>
            <w:tab w:val="num" w:pos="514"/>
          </w:tabs>
          <w:ind w:left="514" w:hanging="514"/>
        </w:pPr>
      </w:lvl>
    </w:lvlOverride>
  </w:num>
  <w:num w:numId="14">
    <w:abstractNumId w:val="0"/>
    <w:lvlOverride w:ilvl="0">
      <w:startOverride w:val="1"/>
      <w:lvl w:ilvl="0">
        <w:start w:val="1"/>
        <w:numFmt w:val="decimal"/>
        <w:lvlText w:val="•"/>
        <w:lvlJc w:val="left"/>
        <w:pPr>
          <w:tabs>
            <w:tab w:val="num" w:pos="514"/>
          </w:tabs>
          <w:ind w:left="514" w:hanging="514"/>
        </w:pPr>
      </w:lvl>
    </w:lvlOverride>
  </w:num>
  <w:num w:numId="15">
    <w:abstractNumId w:val="0"/>
    <w:lvlOverride w:ilvl="0">
      <w:startOverride w:val="1"/>
      <w:lvl w:ilvl="0">
        <w:start w:val="1"/>
        <w:numFmt w:val="decimal"/>
        <w:lvlText w:val="•"/>
        <w:lvlJc w:val="left"/>
        <w:pPr>
          <w:tabs>
            <w:tab w:val="num" w:pos="514"/>
          </w:tabs>
          <w:ind w:left="514" w:hanging="514"/>
        </w:pPr>
      </w:lvl>
    </w:lvlOverride>
  </w:num>
  <w:num w:numId="16">
    <w:abstractNumId w:val="0"/>
    <w:lvlOverride w:ilvl="0">
      <w:startOverride w:val="1"/>
      <w:lvl w:ilvl="0">
        <w:start w:val="1"/>
        <w:numFmt w:val="decimal"/>
        <w:lvlText w:val="•"/>
        <w:lvlJc w:val="left"/>
        <w:pPr>
          <w:tabs>
            <w:tab w:val="num" w:pos="514"/>
          </w:tabs>
          <w:ind w:left="514" w:hanging="514"/>
        </w:pPr>
      </w:lvl>
    </w:lvlOverride>
  </w:num>
  <w:num w:numId="17">
    <w:abstractNumId w:val="0"/>
    <w:lvlOverride w:ilvl="0">
      <w:startOverride w:val="1"/>
      <w:lvl w:ilvl="0">
        <w:start w:val="1"/>
        <w:numFmt w:val="decimal"/>
        <w:lvlText w:val="•"/>
        <w:lvlJc w:val="left"/>
        <w:pPr>
          <w:tabs>
            <w:tab w:val="num" w:pos="514"/>
          </w:tabs>
          <w:ind w:left="514" w:hanging="514"/>
        </w:pPr>
      </w:lvl>
    </w:lvlOverride>
  </w:num>
  <w:num w:numId="18">
    <w:abstractNumId w:val="0"/>
    <w:lvlOverride w:ilvl="0">
      <w:startOverride w:val="1"/>
      <w:lvl w:ilvl="0">
        <w:start w:val="1"/>
        <w:numFmt w:val="decimal"/>
        <w:lvlText w:val="•"/>
        <w:lvlJc w:val="left"/>
        <w:pPr>
          <w:tabs>
            <w:tab w:val="num" w:pos="514"/>
          </w:tabs>
          <w:ind w:left="514" w:hanging="514"/>
        </w:pPr>
      </w:lvl>
    </w:lvlOverride>
  </w:num>
  <w:num w:numId="19">
    <w:abstractNumId w:val="0"/>
    <w:lvlOverride w:ilvl="0">
      <w:startOverride w:val="1"/>
      <w:lvl w:ilvl="0">
        <w:start w:val="1"/>
        <w:numFmt w:val="decimal"/>
        <w:lvlText w:val="•"/>
        <w:lvlJc w:val="left"/>
        <w:pPr>
          <w:tabs>
            <w:tab w:val="num" w:pos="514"/>
          </w:tabs>
          <w:ind w:left="514" w:hanging="514"/>
        </w:pPr>
      </w:lvl>
    </w:lvlOverride>
  </w:num>
  <w:num w:numId="20">
    <w:abstractNumId w:val="0"/>
    <w:lvlOverride w:ilvl="0">
      <w:startOverride w:val="1"/>
      <w:lvl w:ilvl="0">
        <w:start w:val="1"/>
        <w:numFmt w:val="decimal"/>
        <w:lvlText w:val="•"/>
        <w:lvlJc w:val="left"/>
        <w:pPr>
          <w:tabs>
            <w:tab w:val="num" w:pos="514"/>
          </w:tabs>
          <w:ind w:left="514" w:hanging="514"/>
        </w:pPr>
      </w:lvl>
    </w:lvlOverride>
  </w:num>
  <w:num w:numId="21">
    <w:abstractNumId w:val="0"/>
    <w:lvlOverride w:ilvl="0">
      <w:startOverride w:val="1"/>
      <w:lvl w:ilvl="0">
        <w:start w:val="1"/>
        <w:numFmt w:val="decimal"/>
        <w:lvlText w:val="•"/>
        <w:lvlJc w:val="left"/>
        <w:pPr>
          <w:tabs>
            <w:tab w:val="num" w:pos="514"/>
          </w:tabs>
          <w:ind w:left="514" w:hanging="514"/>
        </w:pPr>
      </w:lvl>
    </w:lvlOverride>
  </w:num>
  <w:num w:numId="22">
    <w:abstractNumId w:val="0"/>
    <w:lvlOverride w:ilvl="0">
      <w:startOverride w:val="1"/>
      <w:lvl w:ilvl="0">
        <w:start w:val="1"/>
        <w:numFmt w:val="decimal"/>
        <w:lvlText w:val="•"/>
        <w:lvlJc w:val="left"/>
        <w:pPr>
          <w:tabs>
            <w:tab w:val="num" w:pos="514"/>
          </w:tabs>
          <w:ind w:left="514" w:hanging="514"/>
        </w:pPr>
      </w:lvl>
    </w:lvlOverride>
  </w:num>
  <w:num w:numId="23">
    <w:abstractNumId w:val="0"/>
    <w:lvlOverride w:ilvl="0">
      <w:startOverride w:val="1"/>
      <w:lvl w:ilvl="0">
        <w:start w:val="1"/>
        <w:numFmt w:val="decimal"/>
        <w:lvlText w:val="•"/>
        <w:lvlJc w:val="left"/>
        <w:pPr>
          <w:tabs>
            <w:tab w:val="num" w:pos="514"/>
          </w:tabs>
          <w:ind w:left="514" w:hanging="514"/>
        </w:pPr>
      </w:lvl>
    </w:lvlOverride>
  </w:num>
  <w:num w:numId="24">
    <w:abstractNumId w:val="0"/>
    <w:lvlOverride w:ilvl="0">
      <w:startOverride w:val="1"/>
      <w:lvl w:ilvl="0">
        <w:start w:val="1"/>
        <w:numFmt w:val="decimal"/>
        <w:lvlText w:val="•"/>
        <w:lvlJc w:val="left"/>
        <w:pPr>
          <w:tabs>
            <w:tab w:val="num" w:pos="514"/>
          </w:tabs>
          <w:ind w:left="514" w:hanging="514"/>
        </w:pPr>
      </w:lvl>
    </w:lvlOverride>
  </w:num>
  <w:num w:numId="25">
    <w:abstractNumId w:val="0"/>
    <w:lvlOverride w:ilvl="0">
      <w:startOverride w:val="1"/>
      <w:lvl w:ilvl="0">
        <w:start w:val="1"/>
        <w:numFmt w:val="decimal"/>
        <w:lvlText w:val="•"/>
        <w:lvlJc w:val="left"/>
        <w:pPr>
          <w:tabs>
            <w:tab w:val="num" w:pos="514"/>
          </w:tabs>
          <w:ind w:left="514" w:hanging="514"/>
        </w:pPr>
      </w:lvl>
    </w:lvlOverride>
  </w:num>
  <w:num w:numId="26">
    <w:abstractNumId w:val="0"/>
    <w:lvlOverride w:ilvl="0">
      <w:startOverride w:val="1"/>
      <w:lvl w:ilvl="0">
        <w:start w:val="1"/>
        <w:numFmt w:val="decimal"/>
        <w:lvlText w:val="•"/>
        <w:lvlJc w:val="left"/>
        <w:pPr>
          <w:tabs>
            <w:tab w:val="num" w:pos="514"/>
          </w:tabs>
          <w:ind w:left="514" w:hanging="514"/>
        </w:pPr>
      </w:lvl>
    </w:lvlOverride>
  </w:num>
  <w:num w:numId="27">
    <w:abstractNumId w:val="0"/>
    <w:lvlOverride w:ilvl="0">
      <w:startOverride w:val="1"/>
      <w:lvl w:ilvl="0">
        <w:start w:val="1"/>
        <w:numFmt w:val="decimal"/>
        <w:lvlText w:val="•"/>
        <w:lvlJc w:val="left"/>
        <w:pPr>
          <w:tabs>
            <w:tab w:val="num" w:pos="514"/>
          </w:tabs>
          <w:ind w:left="514" w:hanging="514"/>
        </w:pPr>
      </w:lvl>
    </w:lvlOverride>
  </w:num>
  <w:num w:numId="28">
    <w:abstractNumId w:val="0"/>
    <w:lvlOverride w:ilvl="0">
      <w:startOverride w:val="1"/>
      <w:lvl w:ilvl="0">
        <w:start w:val="1"/>
        <w:numFmt w:val="decimal"/>
        <w:lvlText w:val="•"/>
        <w:lvlJc w:val="left"/>
        <w:pPr>
          <w:tabs>
            <w:tab w:val="num" w:pos="514"/>
          </w:tabs>
          <w:ind w:left="514" w:hanging="514"/>
        </w:pPr>
      </w:lvl>
    </w:lvlOverride>
  </w:num>
  <w:num w:numId="29">
    <w:abstractNumId w:val="0"/>
    <w:lvlOverride w:ilvl="0">
      <w:startOverride w:val="1"/>
      <w:lvl w:ilvl="0">
        <w:start w:val="1"/>
        <w:numFmt w:val="decimal"/>
        <w:lvlText w:val="•"/>
        <w:lvlJc w:val="left"/>
        <w:pPr>
          <w:tabs>
            <w:tab w:val="num" w:pos="514"/>
          </w:tabs>
          <w:ind w:left="514" w:hanging="514"/>
        </w:pPr>
      </w:lvl>
    </w:lvlOverride>
  </w:num>
  <w:num w:numId="30">
    <w:abstractNumId w:val="0"/>
    <w:lvlOverride w:ilvl="0">
      <w:startOverride w:val="1"/>
      <w:lvl w:ilvl="0">
        <w:start w:val="1"/>
        <w:numFmt w:val="decimal"/>
        <w:lvlText w:val="•"/>
        <w:lvlJc w:val="left"/>
        <w:pPr>
          <w:tabs>
            <w:tab w:val="num" w:pos="514"/>
          </w:tabs>
          <w:ind w:left="514" w:hanging="514"/>
        </w:pPr>
      </w:lvl>
    </w:lvlOverride>
  </w:num>
  <w:num w:numId="31">
    <w:abstractNumId w:val="0"/>
    <w:lvlOverride w:ilvl="0">
      <w:startOverride w:val="1"/>
      <w:lvl w:ilvl="0">
        <w:start w:val="1"/>
        <w:numFmt w:val="decimal"/>
        <w:lvlText w:val="•"/>
        <w:lvlJc w:val="left"/>
        <w:pPr>
          <w:tabs>
            <w:tab w:val="num" w:pos="514"/>
          </w:tabs>
          <w:ind w:left="514" w:hanging="514"/>
        </w:pPr>
      </w:lvl>
    </w:lvlOverride>
  </w:num>
  <w:num w:numId="32">
    <w:abstractNumId w:val="0"/>
    <w:lvlOverride w:ilvl="0">
      <w:startOverride w:val="1"/>
      <w:lvl w:ilvl="0">
        <w:start w:val="1"/>
        <w:numFmt w:val="decimal"/>
        <w:lvlText w:val="•"/>
        <w:lvlJc w:val="left"/>
        <w:pPr>
          <w:tabs>
            <w:tab w:val="num" w:pos="514"/>
          </w:tabs>
          <w:ind w:left="514" w:hanging="514"/>
        </w:pPr>
      </w:lvl>
    </w:lvlOverride>
  </w:num>
  <w:num w:numId="33">
    <w:abstractNumId w:val="0"/>
    <w:lvlOverride w:ilvl="0">
      <w:startOverride w:val="1"/>
      <w:lvl w:ilvl="0">
        <w:start w:val="1"/>
        <w:numFmt w:val="decimal"/>
        <w:lvlText w:val="•"/>
        <w:lvlJc w:val="left"/>
        <w:pPr>
          <w:tabs>
            <w:tab w:val="num" w:pos="514"/>
          </w:tabs>
          <w:ind w:left="514" w:hanging="514"/>
        </w:pPr>
      </w:lvl>
    </w:lvlOverride>
  </w:num>
  <w:num w:numId="34">
    <w:abstractNumId w:val="0"/>
    <w:lvlOverride w:ilvl="0">
      <w:startOverride w:val="1"/>
      <w:lvl w:ilvl="0">
        <w:start w:val="1"/>
        <w:numFmt w:val="decimal"/>
        <w:lvlText w:val="•"/>
        <w:lvlJc w:val="left"/>
        <w:pPr>
          <w:tabs>
            <w:tab w:val="num" w:pos="514"/>
          </w:tabs>
          <w:ind w:left="514" w:hanging="514"/>
        </w:pPr>
      </w:lvl>
    </w:lvlOverride>
  </w:num>
  <w:num w:numId="35">
    <w:abstractNumId w:val="0"/>
    <w:lvlOverride w:ilvl="0">
      <w:startOverride w:val="1"/>
    </w:lvlOverride>
    <w:lvlOverride w:ilvl="1">
      <w:startOverride w:val="1"/>
      <w:lvl w:ilvl="1">
        <w:start w:val="1"/>
        <w:numFmt w:val="decimal"/>
        <w:lvlText w:val="-"/>
        <w:lvlJc w:val="left"/>
        <w:pPr>
          <w:tabs>
            <w:tab w:val="num" w:pos="1028"/>
          </w:tabs>
          <w:ind w:left="1028" w:hanging="514"/>
        </w:pPr>
      </w:lvl>
    </w:lvlOverride>
  </w:num>
  <w:num w:numId="36">
    <w:abstractNumId w:val="0"/>
    <w:lvlOverride w:ilvl="0">
      <w:startOverride w:val="1"/>
      <w:lvl w:ilvl="0">
        <w:start w:val="1"/>
        <w:numFmt w:val="decimal"/>
        <w:lvlText w:val="•"/>
        <w:lvlJc w:val="left"/>
        <w:pPr>
          <w:tabs>
            <w:tab w:val="num" w:pos="514"/>
          </w:tabs>
          <w:ind w:left="514" w:hanging="514"/>
        </w:pPr>
      </w:lvl>
    </w:lvlOverride>
  </w:num>
  <w:num w:numId="37">
    <w:abstractNumId w:val="0"/>
    <w:lvlOverride w:ilvl="0">
      <w:startOverride w:val="1"/>
      <w:lvl w:ilvl="0">
        <w:start w:val="1"/>
        <w:numFmt w:val="decimal"/>
        <w:lvlText w:val="•"/>
        <w:lvlJc w:val="left"/>
        <w:pPr>
          <w:tabs>
            <w:tab w:val="num" w:pos="514"/>
          </w:tabs>
          <w:ind w:left="514" w:hanging="514"/>
        </w:pPr>
      </w:lvl>
    </w:lvlOverride>
  </w:num>
  <w:num w:numId="38">
    <w:abstractNumId w:val="0"/>
    <w:lvlOverride w:ilvl="0">
      <w:startOverride w:val="1"/>
      <w:lvl w:ilvl="0">
        <w:start w:val="1"/>
        <w:numFmt w:val="decimal"/>
        <w:lvlText w:val="•"/>
        <w:lvlJc w:val="left"/>
        <w:pPr>
          <w:tabs>
            <w:tab w:val="num" w:pos="514"/>
          </w:tabs>
          <w:ind w:left="514" w:hanging="514"/>
        </w:pPr>
      </w:lvl>
    </w:lvlOverride>
  </w:num>
  <w:num w:numId="39">
    <w:abstractNumId w:val="0"/>
    <w:lvlOverride w:ilvl="0">
      <w:startOverride w:val="1"/>
      <w:lvl w:ilvl="0">
        <w:start w:val="1"/>
        <w:numFmt w:val="decimal"/>
        <w:lvlText w:val="•"/>
        <w:lvlJc w:val="left"/>
        <w:pPr>
          <w:tabs>
            <w:tab w:val="num" w:pos="514"/>
          </w:tabs>
          <w:ind w:left="514" w:hanging="514"/>
        </w:pPr>
      </w:lvl>
    </w:lvlOverride>
  </w:num>
  <w:num w:numId="40">
    <w:abstractNumId w:val="0"/>
    <w:lvlOverride w:ilvl="0">
      <w:startOverride w:val="1"/>
      <w:lvl w:ilvl="0">
        <w:start w:val="1"/>
        <w:numFmt w:val="decimal"/>
        <w:lvlText w:val="•"/>
        <w:lvlJc w:val="left"/>
        <w:pPr>
          <w:tabs>
            <w:tab w:val="num" w:pos="514"/>
          </w:tabs>
          <w:ind w:left="514" w:hanging="514"/>
        </w:pPr>
      </w:lvl>
    </w:lvlOverride>
  </w:num>
  <w:num w:numId="41">
    <w:abstractNumId w:val="0"/>
    <w:lvlOverride w:ilvl="0">
      <w:startOverride w:val="1"/>
      <w:lvl w:ilvl="0">
        <w:start w:val="1"/>
        <w:numFmt w:val="decimal"/>
        <w:lvlText w:val="•"/>
        <w:lvlJc w:val="left"/>
        <w:pPr>
          <w:tabs>
            <w:tab w:val="num" w:pos="514"/>
          </w:tabs>
          <w:ind w:left="514" w:hanging="514"/>
        </w:pPr>
      </w:lvl>
    </w:lvlOverride>
  </w:num>
  <w:num w:numId="42">
    <w:abstractNumId w:val="0"/>
    <w:lvlOverride w:ilvl="0">
      <w:startOverride w:val="1"/>
      <w:lvl w:ilvl="0">
        <w:start w:val="1"/>
        <w:numFmt w:val="decimal"/>
        <w:lvlText w:val="•"/>
        <w:lvlJc w:val="left"/>
        <w:pPr>
          <w:tabs>
            <w:tab w:val="num" w:pos="514"/>
          </w:tabs>
          <w:ind w:left="514" w:hanging="514"/>
        </w:pPr>
      </w:lvl>
    </w:lvlOverride>
  </w:num>
  <w:num w:numId="43">
    <w:abstractNumId w:val="0"/>
    <w:lvlOverride w:ilvl="0">
      <w:startOverride w:val="1"/>
      <w:lvl w:ilvl="0">
        <w:start w:val="1"/>
        <w:numFmt w:val="decimal"/>
        <w:lvlText w:val="•"/>
        <w:lvlJc w:val="left"/>
        <w:pPr>
          <w:tabs>
            <w:tab w:val="num" w:pos="514"/>
          </w:tabs>
          <w:ind w:left="514" w:hanging="514"/>
        </w:pPr>
      </w:lvl>
    </w:lvlOverride>
  </w:num>
  <w:num w:numId="44">
    <w:abstractNumId w:val="0"/>
    <w:lvlOverride w:ilvl="0">
      <w:startOverride w:val="1"/>
      <w:lvl w:ilvl="0">
        <w:start w:val="1"/>
        <w:numFmt w:val="decimal"/>
        <w:lvlText w:val="•"/>
        <w:lvlJc w:val="left"/>
        <w:pPr>
          <w:tabs>
            <w:tab w:val="num" w:pos="514"/>
          </w:tabs>
          <w:ind w:left="514" w:hanging="514"/>
        </w:pPr>
      </w:lvl>
    </w:lvlOverride>
  </w:num>
  <w:num w:numId="45">
    <w:abstractNumId w:val="0"/>
    <w:lvlOverride w:ilvl="0">
      <w:startOverride w:val="1"/>
      <w:lvl w:ilvl="0">
        <w:start w:val="1"/>
        <w:numFmt w:val="decimal"/>
        <w:lvlText w:val="•"/>
        <w:lvlJc w:val="left"/>
        <w:pPr>
          <w:tabs>
            <w:tab w:val="num" w:pos="514"/>
          </w:tabs>
          <w:ind w:left="514" w:hanging="514"/>
        </w:pPr>
      </w:lvl>
    </w:lvlOverride>
  </w:num>
  <w:num w:numId="46">
    <w:abstractNumId w:val="0"/>
    <w:lvlOverride w:ilvl="0">
      <w:startOverride w:val="1"/>
      <w:lvl w:ilvl="0">
        <w:start w:val="1"/>
        <w:numFmt w:val="decimal"/>
        <w:lvlText w:val="•"/>
        <w:lvlJc w:val="left"/>
        <w:pPr>
          <w:tabs>
            <w:tab w:val="num" w:pos="514"/>
          </w:tabs>
          <w:ind w:left="514" w:hanging="514"/>
        </w:pPr>
      </w:lvl>
    </w:lvlOverride>
  </w:num>
  <w:num w:numId="47">
    <w:abstractNumId w:val="0"/>
    <w:lvlOverride w:ilvl="0">
      <w:startOverride w:val="1"/>
      <w:lvl w:ilvl="0">
        <w:start w:val="1"/>
        <w:numFmt w:val="decimal"/>
        <w:lvlText w:val="•"/>
        <w:lvlJc w:val="left"/>
        <w:pPr>
          <w:tabs>
            <w:tab w:val="num" w:pos="514"/>
          </w:tabs>
          <w:ind w:left="514" w:hanging="514"/>
        </w:pPr>
      </w:lvl>
    </w:lvlOverride>
  </w:num>
  <w:num w:numId="48">
    <w:abstractNumId w:val="0"/>
    <w:lvlOverride w:ilvl="0">
      <w:startOverride w:val="1"/>
      <w:lvl w:ilvl="0">
        <w:start w:val="1"/>
        <w:numFmt w:val="decimal"/>
        <w:lvlText w:val="•"/>
        <w:lvlJc w:val="left"/>
        <w:pPr>
          <w:tabs>
            <w:tab w:val="num" w:pos="514"/>
          </w:tabs>
          <w:ind w:left="514" w:hanging="514"/>
        </w:pPr>
      </w:lvl>
    </w:lvlOverride>
  </w:num>
  <w:num w:numId="49">
    <w:abstractNumId w:val="0"/>
    <w:lvlOverride w:ilvl="0">
      <w:startOverride w:val="1"/>
      <w:lvl w:ilvl="0">
        <w:start w:val="1"/>
        <w:numFmt w:val="decimal"/>
        <w:lvlText w:val="•"/>
        <w:lvlJc w:val="left"/>
        <w:pPr>
          <w:tabs>
            <w:tab w:val="num" w:pos="514"/>
          </w:tabs>
          <w:ind w:left="514" w:hanging="514"/>
        </w:pPr>
      </w:lvl>
    </w:lvlOverride>
  </w:num>
  <w:num w:numId="50">
    <w:abstractNumId w:val="0"/>
    <w:lvlOverride w:ilvl="0">
      <w:startOverride w:val="1"/>
      <w:lvl w:ilvl="0">
        <w:start w:val="1"/>
        <w:numFmt w:val="decimal"/>
        <w:lvlText w:val="•"/>
        <w:lvlJc w:val="left"/>
        <w:pPr>
          <w:tabs>
            <w:tab w:val="num" w:pos="514"/>
          </w:tabs>
          <w:ind w:left="514" w:hanging="514"/>
        </w:pPr>
      </w:lvl>
    </w:lvlOverride>
  </w:num>
  <w:num w:numId="51">
    <w:abstractNumId w:val="0"/>
    <w:lvlOverride w:ilvl="0">
      <w:startOverride w:val="1"/>
      <w:lvl w:ilvl="0">
        <w:start w:val="1"/>
        <w:numFmt w:val="decimal"/>
        <w:lvlText w:val="•"/>
        <w:lvlJc w:val="left"/>
        <w:pPr>
          <w:tabs>
            <w:tab w:val="num" w:pos="514"/>
          </w:tabs>
          <w:ind w:left="514" w:hanging="514"/>
        </w:pPr>
      </w:lvl>
    </w:lvlOverride>
  </w:num>
  <w:num w:numId="52">
    <w:abstractNumId w:val="0"/>
    <w:lvlOverride w:ilvl="0">
      <w:startOverride w:val="1"/>
      <w:lvl w:ilvl="0">
        <w:start w:val="1"/>
        <w:numFmt w:val="decimal"/>
        <w:lvlText w:val="•"/>
        <w:lvlJc w:val="left"/>
        <w:pPr>
          <w:tabs>
            <w:tab w:val="num" w:pos="514"/>
          </w:tabs>
          <w:ind w:left="514" w:hanging="514"/>
        </w:pPr>
      </w:lvl>
    </w:lvlOverride>
  </w:num>
  <w:num w:numId="53">
    <w:abstractNumId w:val="0"/>
    <w:lvlOverride w:ilvl="0">
      <w:startOverride w:val="1"/>
      <w:lvl w:ilvl="0">
        <w:start w:val="1"/>
        <w:numFmt w:val="decimal"/>
        <w:lvlText w:val="•"/>
        <w:lvlJc w:val="left"/>
        <w:pPr>
          <w:tabs>
            <w:tab w:val="num" w:pos="514"/>
          </w:tabs>
          <w:ind w:left="514" w:hanging="514"/>
        </w:pPr>
      </w:lvl>
    </w:lvlOverride>
  </w:num>
  <w:num w:numId="54">
    <w:abstractNumId w:val="0"/>
    <w:lvlOverride w:ilvl="0">
      <w:startOverride w:val="1"/>
      <w:lvl w:ilvl="0">
        <w:start w:val="1"/>
        <w:numFmt w:val="decimal"/>
        <w:lvlText w:val="•"/>
        <w:lvlJc w:val="left"/>
        <w:pPr>
          <w:tabs>
            <w:tab w:val="num" w:pos="514"/>
          </w:tabs>
          <w:ind w:left="514" w:hanging="514"/>
        </w:pPr>
      </w:lvl>
    </w:lvlOverride>
  </w:num>
  <w:num w:numId="55">
    <w:abstractNumId w:val="0"/>
    <w:lvlOverride w:ilvl="0">
      <w:startOverride w:val="1"/>
      <w:lvl w:ilvl="0">
        <w:start w:val="1"/>
        <w:numFmt w:val="decimal"/>
        <w:lvlText w:val="•"/>
        <w:lvlJc w:val="left"/>
        <w:pPr>
          <w:tabs>
            <w:tab w:val="num" w:pos="514"/>
          </w:tabs>
          <w:ind w:left="514" w:hanging="514"/>
        </w:pPr>
      </w:lvl>
    </w:lvlOverride>
  </w:num>
  <w:num w:numId="56">
    <w:abstractNumId w:val="0"/>
    <w:lvlOverride w:ilvl="0">
      <w:startOverride w:val="1"/>
      <w:lvl w:ilvl="0">
        <w:start w:val="1"/>
        <w:numFmt w:val="decimal"/>
        <w:lvlText w:val="•"/>
        <w:lvlJc w:val="left"/>
        <w:pPr>
          <w:tabs>
            <w:tab w:val="num" w:pos="514"/>
          </w:tabs>
          <w:ind w:left="514" w:hanging="514"/>
        </w:pPr>
      </w:lvl>
    </w:lvlOverride>
  </w:num>
  <w:num w:numId="57">
    <w:abstractNumId w:val="0"/>
    <w:lvlOverride w:ilvl="0">
      <w:startOverride w:val="1"/>
      <w:lvl w:ilvl="0">
        <w:start w:val="1"/>
        <w:numFmt w:val="decimal"/>
        <w:lvlText w:val="•"/>
        <w:lvlJc w:val="left"/>
        <w:pPr>
          <w:tabs>
            <w:tab w:val="num" w:pos="514"/>
          </w:tabs>
          <w:ind w:left="514" w:hanging="514"/>
        </w:pPr>
      </w:lvl>
    </w:lvlOverride>
  </w:num>
  <w:num w:numId="58">
    <w:abstractNumId w:val="0"/>
    <w:lvlOverride w:ilvl="0">
      <w:startOverride w:val="1"/>
      <w:lvl w:ilvl="0">
        <w:start w:val="1"/>
        <w:numFmt w:val="decimal"/>
        <w:lvlText w:val="•"/>
        <w:lvlJc w:val="left"/>
        <w:pPr>
          <w:tabs>
            <w:tab w:val="num" w:pos="514"/>
          </w:tabs>
          <w:ind w:left="514" w:hanging="514"/>
        </w:pPr>
      </w:lvl>
    </w:lvlOverride>
  </w:num>
  <w:num w:numId="59">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0">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1">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2">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3">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4">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5">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6">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7">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8">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69">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 w:numId="70">
    <w:abstractNumId w:val="0"/>
    <w:lvlOverride w:ilvl="0">
      <w:startOverride w:val="1"/>
    </w:lvlOverride>
    <w:lvlOverride w:ilvl="1">
      <w:startOverride w:val="1"/>
    </w:lvlOverride>
    <w:lvlOverride w:ilvl="2">
      <w:startOverride w:val="1"/>
      <w:lvl w:ilvl="2">
        <w:start w:val="1"/>
        <w:numFmt w:val="decimal"/>
        <w:lvlText w:val="-"/>
        <w:lvlJc w:val="left"/>
        <w:pPr>
          <w:tabs>
            <w:tab w:val="num" w:pos="1542"/>
          </w:tabs>
          <w:ind w:left="1542" w:hanging="514"/>
        </w:p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60"/>
    <w:rsid w:val="00E05160"/>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01B143-5B50-46BF-9833-8A58F3CD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160"/>
    <w:rPr>
      <w:rFonts w:ascii="Calibri" w:eastAsia="Calibri" w:hAnsi="Calibri" w:cs="Times New Roman"/>
      <w:lang w:eastAsia="en-US"/>
    </w:rPr>
  </w:style>
  <w:style w:type="character" w:default="1" w:styleId="Absatz-Standardschriftart">
    <w:name w:val="Default Paragraph Font"/>
    <w:uiPriority w:val="1"/>
    <w:semiHidden/>
    <w:unhideWhenUsed/>
    <w:rsid w:val="00E0516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05160"/>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rFonts w:cs="Times New Roman"/>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l">
    <w:name w:val="hvh_l"/>
    <w:rsid w:val="003A4CD6"/>
    <w:rPr>
      <w:strike/>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t">
    <w:name w:val="hvh_t"/>
    <w:rsid w:val="003A4CD6"/>
    <w:rPr>
      <w:u w:val="thick"/>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rFonts w:cs="Times New Roman"/>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Times New Roman"/>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Times New Roman"/>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rsid w:val="003A4CD6"/>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5322</Words>
  <Characters>33535</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0005010MOE0000000001</dc:creator>
  <cp:keywords/>
  <dc:description/>
  <cp:lastModifiedBy>0005010MOE0000000001</cp:lastModifiedBy>
  <cp:revision>2</cp:revision>
  <dcterms:created xsi:type="dcterms:W3CDTF">2022-07-14T08:00:00Z</dcterms:created>
  <dcterms:modified xsi:type="dcterms:W3CDTF">2022-07-14T08:00:00Z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REIFUERPRODUKT">
    <vt:lpwstr>*</vt:lpwstr>
  </property>
  <property fmtid="{D5CDD505-2E9C-101B-9397-08002B2CF9AE}" pid="3" name="HRS_HIDX">
    <vt:lpwstr>HI14967497</vt:lpwstr>
  </property>
  <property fmtid="{D5CDD505-2E9C-101B-9397-08002B2CF9AE}" pid="4" name="HRS_MUSTERDOKUMENT_TYP">
    <vt:lpwstr>Checkliste</vt:lpwstr>
  </property>
  <property fmtid="{D5CDD505-2E9C-101B-9397-08002B2CF9AE}" pid="5" name="HRS_URSPRUNGSWERK">
    <vt:lpwstr>HSO</vt:lpwstr>
  </property>
</Properties>
</file>